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2FB" w:rsidRDefault="004312FB" w:rsidP="00EC585C">
      <w:pPr>
        <w:jc w:val="center"/>
        <w:rPr>
          <w:sz w:val="56"/>
          <w:szCs w:val="56"/>
        </w:rPr>
      </w:pPr>
    </w:p>
    <w:p w:rsidR="004312FB" w:rsidRDefault="004312FB" w:rsidP="00EC585C">
      <w:pPr>
        <w:jc w:val="center"/>
        <w:rPr>
          <w:sz w:val="56"/>
          <w:szCs w:val="56"/>
        </w:rPr>
      </w:pPr>
    </w:p>
    <w:p w:rsidR="004312FB" w:rsidRDefault="004312FB" w:rsidP="00EC585C">
      <w:pPr>
        <w:jc w:val="center"/>
        <w:rPr>
          <w:sz w:val="56"/>
          <w:szCs w:val="56"/>
        </w:rPr>
      </w:pPr>
    </w:p>
    <w:p w:rsidR="004312FB" w:rsidRDefault="004312FB" w:rsidP="00EC585C">
      <w:pPr>
        <w:jc w:val="center"/>
        <w:rPr>
          <w:sz w:val="56"/>
          <w:szCs w:val="56"/>
        </w:rPr>
      </w:pPr>
    </w:p>
    <w:p w:rsidR="00BC0BA3" w:rsidRDefault="006F13CF" w:rsidP="00EC585C">
      <w:pPr>
        <w:jc w:val="center"/>
        <w:rPr>
          <w:sz w:val="56"/>
          <w:szCs w:val="56"/>
        </w:rPr>
      </w:pPr>
      <w:r w:rsidRPr="00EC585C">
        <w:rPr>
          <w:sz w:val="56"/>
          <w:szCs w:val="56"/>
        </w:rPr>
        <w:t>Les attributions des logements sociaux :</w:t>
      </w:r>
      <w:r w:rsidR="00D10199" w:rsidRPr="00EC585C">
        <w:rPr>
          <w:sz w:val="56"/>
          <w:szCs w:val="56"/>
        </w:rPr>
        <w:t xml:space="preserve"> des objectifs in</w:t>
      </w:r>
      <w:r w:rsidR="00871518" w:rsidRPr="00EC585C">
        <w:rPr>
          <w:sz w:val="56"/>
          <w:szCs w:val="56"/>
        </w:rPr>
        <w:t>concilia</w:t>
      </w:r>
      <w:r w:rsidR="00D10199" w:rsidRPr="00EC585C">
        <w:rPr>
          <w:sz w:val="56"/>
          <w:szCs w:val="56"/>
        </w:rPr>
        <w:t>bles</w:t>
      </w:r>
      <w:r w:rsidRPr="00EC585C">
        <w:rPr>
          <w:sz w:val="56"/>
          <w:szCs w:val="56"/>
        </w:rPr>
        <w:t> ?</w:t>
      </w:r>
    </w:p>
    <w:p w:rsidR="004312FB" w:rsidRDefault="004312FB" w:rsidP="004312FB">
      <w:pPr>
        <w:jc w:val="center"/>
      </w:pPr>
    </w:p>
    <w:p w:rsidR="004312FB" w:rsidRPr="004312FB" w:rsidRDefault="004312FB" w:rsidP="004312FB">
      <w:pPr>
        <w:jc w:val="center"/>
        <w:rPr>
          <w:sz w:val="32"/>
          <w:szCs w:val="32"/>
        </w:rPr>
      </w:pPr>
      <w:r w:rsidRPr="004312FB">
        <w:rPr>
          <w:sz w:val="32"/>
          <w:szCs w:val="32"/>
        </w:rPr>
        <w:t>Par Bernard Coloos</w:t>
      </w:r>
    </w:p>
    <w:p w:rsidR="00897ACB" w:rsidRDefault="00A46E8D" w:rsidP="00A46E8D">
      <w:pPr>
        <w:pStyle w:val="TM1"/>
        <w:jc w:val="center"/>
      </w:pPr>
      <w:r>
        <w:t>Mars 2018</w:t>
      </w:r>
    </w:p>
    <w:p w:rsidR="004312FB" w:rsidRPr="004312FB" w:rsidRDefault="004312FB" w:rsidP="004312FB"/>
    <w:p w:rsidR="004312FB" w:rsidRDefault="004312FB" w:rsidP="00EC585C">
      <w:pPr>
        <w:pStyle w:val="TM1"/>
        <w:rPr>
          <w:b/>
          <w:sz w:val="36"/>
        </w:rPr>
      </w:pPr>
    </w:p>
    <w:p w:rsidR="004312FB" w:rsidRDefault="004312FB" w:rsidP="00EC585C">
      <w:pPr>
        <w:pStyle w:val="TM1"/>
        <w:rPr>
          <w:b/>
          <w:sz w:val="36"/>
        </w:rPr>
      </w:pPr>
    </w:p>
    <w:p w:rsidR="004312FB" w:rsidRDefault="004312FB" w:rsidP="00EC585C">
      <w:pPr>
        <w:pStyle w:val="TM1"/>
        <w:rPr>
          <w:b/>
          <w:sz w:val="36"/>
        </w:rPr>
      </w:pPr>
    </w:p>
    <w:p w:rsidR="004312FB" w:rsidRDefault="004312FB" w:rsidP="00EC585C">
      <w:pPr>
        <w:pStyle w:val="TM1"/>
        <w:rPr>
          <w:b/>
          <w:sz w:val="36"/>
        </w:rPr>
      </w:pPr>
      <w:r>
        <w:rPr>
          <w:b/>
          <w:sz w:val="36"/>
        </w:rPr>
        <w:t>Table des matières</w:t>
      </w:r>
    </w:p>
    <w:p w:rsidR="005E086E" w:rsidRDefault="00952600">
      <w:pPr>
        <w:pStyle w:val="TM1"/>
        <w:tabs>
          <w:tab w:val="left" w:pos="440"/>
          <w:tab w:val="right" w:leader="dot" w:pos="9062"/>
        </w:tabs>
        <w:rPr>
          <w:rFonts w:asciiTheme="minorHAnsi" w:eastAsiaTheme="minorEastAsia" w:hAnsiTheme="minorHAnsi" w:cstheme="minorBidi"/>
          <w:noProof/>
          <w:szCs w:val="22"/>
          <w:lang w:eastAsia="fr-FR"/>
        </w:rPr>
      </w:pPr>
      <w:r>
        <w:rPr>
          <w:b/>
          <w:sz w:val="36"/>
        </w:rPr>
        <w:fldChar w:fldCharType="begin"/>
      </w:r>
      <w:r>
        <w:rPr>
          <w:b/>
          <w:sz w:val="36"/>
        </w:rPr>
        <w:instrText xml:space="preserve"> TOC \o "1-3" \h \z </w:instrText>
      </w:r>
      <w:r>
        <w:rPr>
          <w:b/>
          <w:sz w:val="36"/>
        </w:rPr>
        <w:fldChar w:fldCharType="separate"/>
      </w:r>
      <w:hyperlink w:anchor="_Toc509327202" w:history="1">
        <w:r w:rsidR="005E086E" w:rsidRPr="00D45BF5">
          <w:rPr>
            <w:rStyle w:val="Lienhypertexte"/>
            <w:noProof/>
          </w:rPr>
          <w:t>1.</w:t>
        </w:r>
        <w:r w:rsidR="005E086E">
          <w:rPr>
            <w:rFonts w:asciiTheme="minorHAnsi" w:eastAsiaTheme="minorEastAsia" w:hAnsiTheme="minorHAnsi" w:cstheme="minorBidi"/>
            <w:noProof/>
            <w:szCs w:val="22"/>
            <w:lang w:eastAsia="fr-FR"/>
          </w:rPr>
          <w:tab/>
        </w:r>
        <w:r w:rsidR="005E086E" w:rsidRPr="00D45BF5">
          <w:rPr>
            <w:rStyle w:val="Lienhypertexte"/>
            <w:noProof/>
          </w:rPr>
          <w:t>Introduction</w:t>
        </w:r>
        <w:r w:rsidR="005E086E">
          <w:rPr>
            <w:noProof/>
            <w:webHidden/>
          </w:rPr>
          <w:tab/>
        </w:r>
        <w:r w:rsidR="005E086E">
          <w:rPr>
            <w:noProof/>
            <w:webHidden/>
          </w:rPr>
          <w:fldChar w:fldCharType="begin"/>
        </w:r>
        <w:r w:rsidR="005E086E">
          <w:rPr>
            <w:noProof/>
            <w:webHidden/>
          </w:rPr>
          <w:instrText xml:space="preserve"> PAGEREF _Toc509327202 \h </w:instrText>
        </w:r>
        <w:r w:rsidR="005E086E">
          <w:rPr>
            <w:noProof/>
            <w:webHidden/>
          </w:rPr>
        </w:r>
        <w:r w:rsidR="005E086E">
          <w:rPr>
            <w:noProof/>
            <w:webHidden/>
          </w:rPr>
          <w:fldChar w:fldCharType="separate"/>
        </w:r>
        <w:r w:rsidR="005E086E">
          <w:rPr>
            <w:noProof/>
            <w:webHidden/>
          </w:rPr>
          <w:t>3</w:t>
        </w:r>
        <w:r w:rsidR="005E086E">
          <w:rPr>
            <w:noProof/>
            <w:webHidden/>
          </w:rPr>
          <w:fldChar w:fldCharType="end"/>
        </w:r>
      </w:hyperlink>
    </w:p>
    <w:p w:rsidR="005E086E" w:rsidRDefault="005E086E">
      <w:pPr>
        <w:pStyle w:val="TM1"/>
        <w:tabs>
          <w:tab w:val="left" w:pos="440"/>
          <w:tab w:val="right" w:leader="dot" w:pos="9062"/>
        </w:tabs>
        <w:rPr>
          <w:rFonts w:asciiTheme="minorHAnsi" w:eastAsiaTheme="minorEastAsia" w:hAnsiTheme="minorHAnsi" w:cstheme="minorBidi"/>
          <w:noProof/>
          <w:szCs w:val="22"/>
          <w:lang w:eastAsia="fr-FR"/>
        </w:rPr>
      </w:pPr>
      <w:hyperlink w:anchor="_Toc509327203" w:history="1">
        <w:r w:rsidRPr="00D45BF5">
          <w:rPr>
            <w:rStyle w:val="Lienhypertexte"/>
            <w:noProof/>
          </w:rPr>
          <w:t>2.</w:t>
        </w:r>
        <w:r>
          <w:rPr>
            <w:rFonts w:asciiTheme="minorHAnsi" w:eastAsiaTheme="minorEastAsia" w:hAnsiTheme="minorHAnsi" w:cstheme="minorBidi"/>
            <w:noProof/>
            <w:szCs w:val="22"/>
            <w:lang w:eastAsia="fr-FR"/>
          </w:rPr>
          <w:tab/>
        </w:r>
        <w:r w:rsidRPr="00D45BF5">
          <w:rPr>
            <w:rStyle w:val="Lienhypertexte"/>
            <w:noProof/>
          </w:rPr>
          <w:t>Équité en pratique</w:t>
        </w:r>
        <w:r>
          <w:rPr>
            <w:noProof/>
            <w:webHidden/>
          </w:rPr>
          <w:tab/>
        </w:r>
        <w:r>
          <w:rPr>
            <w:noProof/>
            <w:webHidden/>
          </w:rPr>
          <w:fldChar w:fldCharType="begin"/>
        </w:r>
        <w:r>
          <w:rPr>
            <w:noProof/>
            <w:webHidden/>
          </w:rPr>
          <w:instrText xml:space="preserve"> PAGEREF _Toc509327203 \h </w:instrText>
        </w:r>
        <w:r>
          <w:rPr>
            <w:noProof/>
            <w:webHidden/>
          </w:rPr>
        </w:r>
        <w:r>
          <w:rPr>
            <w:noProof/>
            <w:webHidden/>
          </w:rPr>
          <w:fldChar w:fldCharType="separate"/>
        </w:r>
        <w:r>
          <w:rPr>
            <w:noProof/>
            <w:webHidden/>
          </w:rPr>
          <w:t>5</w:t>
        </w:r>
        <w:r>
          <w:rPr>
            <w:noProof/>
            <w:webHidden/>
          </w:rPr>
          <w:fldChar w:fldCharType="end"/>
        </w:r>
      </w:hyperlink>
    </w:p>
    <w:p w:rsidR="005E086E" w:rsidRDefault="005E086E">
      <w:pPr>
        <w:pStyle w:val="TM1"/>
        <w:tabs>
          <w:tab w:val="left" w:pos="440"/>
          <w:tab w:val="right" w:leader="dot" w:pos="9062"/>
        </w:tabs>
        <w:rPr>
          <w:rFonts w:asciiTheme="minorHAnsi" w:eastAsiaTheme="minorEastAsia" w:hAnsiTheme="minorHAnsi" w:cstheme="minorBidi"/>
          <w:noProof/>
          <w:szCs w:val="22"/>
          <w:lang w:eastAsia="fr-FR"/>
        </w:rPr>
      </w:pPr>
      <w:hyperlink w:anchor="_Toc509327204" w:history="1">
        <w:r w:rsidRPr="00D45BF5">
          <w:rPr>
            <w:rStyle w:val="Lienhypertexte"/>
            <w:noProof/>
          </w:rPr>
          <w:t>3.</w:t>
        </w:r>
        <w:r>
          <w:rPr>
            <w:rFonts w:asciiTheme="minorHAnsi" w:eastAsiaTheme="minorEastAsia" w:hAnsiTheme="minorHAnsi" w:cstheme="minorBidi"/>
            <w:noProof/>
            <w:szCs w:val="22"/>
            <w:lang w:eastAsia="fr-FR"/>
          </w:rPr>
          <w:tab/>
        </w:r>
        <w:r w:rsidRPr="00D45BF5">
          <w:rPr>
            <w:rStyle w:val="Lienhypertexte"/>
            <w:noProof/>
          </w:rPr>
          <w:t>Clientélisme</w:t>
        </w:r>
        <w:r>
          <w:rPr>
            <w:noProof/>
            <w:webHidden/>
          </w:rPr>
          <w:tab/>
        </w:r>
        <w:r>
          <w:rPr>
            <w:noProof/>
            <w:webHidden/>
          </w:rPr>
          <w:fldChar w:fldCharType="begin"/>
        </w:r>
        <w:r>
          <w:rPr>
            <w:noProof/>
            <w:webHidden/>
          </w:rPr>
          <w:instrText xml:space="preserve"> PAGEREF _Toc509327204 \h </w:instrText>
        </w:r>
        <w:r>
          <w:rPr>
            <w:noProof/>
            <w:webHidden/>
          </w:rPr>
        </w:r>
        <w:r>
          <w:rPr>
            <w:noProof/>
            <w:webHidden/>
          </w:rPr>
          <w:fldChar w:fldCharType="separate"/>
        </w:r>
        <w:r>
          <w:rPr>
            <w:noProof/>
            <w:webHidden/>
          </w:rPr>
          <w:t>6</w:t>
        </w:r>
        <w:r>
          <w:rPr>
            <w:noProof/>
            <w:webHidden/>
          </w:rPr>
          <w:fldChar w:fldCharType="end"/>
        </w:r>
      </w:hyperlink>
    </w:p>
    <w:p w:rsidR="005E086E" w:rsidRDefault="005E086E">
      <w:pPr>
        <w:pStyle w:val="TM1"/>
        <w:tabs>
          <w:tab w:val="left" w:pos="440"/>
          <w:tab w:val="right" w:leader="dot" w:pos="9062"/>
        </w:tabs>
        <w:rPr>
          <w:rFonts w:asciiTheme="minorHAnsi" w:eastAsiaTheme="minorEastAsia" w:hAnsiTheme="minorHAnsi" w:cstheme="minorBidi"/>
          <w:noProof/>
          <w:szCs w:val="22"/>
          <w:lang w:eastAsia="fr-FR"/>
        </w:rPr>
      </w:pPr>
      <w:hyperlink w:anchor="_Toc509327205" w:history="1">
        <w:r w:rsidRPr="00D45BF5">
          <w:rPr>
            <w:rStyle w:val="Lienhypertexte"/>
            <w:noProof/>
          </w:rPr>
          <w:t>4.</w:t>
        </w:r>
        <w:r>
          <w:rPr>
            <w:rFonts w:asciiTheme="minorHAnsi" w:eastAsiaTheme="minorEastAsia" w:hAnsiTheme="minorHAnsi" w:cstheme="minorBidi"/>
            <w:noProof/>
            <w:szCs w:val="22"/>
            <w:lang w:eastAsia="fr-FR"/>
          </w:rPr>
          <w:tab/>
        </w:r>
        <w:r w:rsidRPr="00D45BF5">
          <w:rPr>
            <w:rStyle w:val="Lienhypertexte"/>
            <w:noProof/>
          </w:rPr>
          <w:t>Une longue maturation</w:t>
        </w:r>
        <w:r>
          <w:rPr>
            <w:noProof/>
            <w:webHidden/>
          </w:rPr>
          <w:tab/>
        </w:r>
        <w:r>
          <w:rPr>
            <w:noProof/>
            <w:webHidden/>
          </w:rPr>
          <w:fldChar w:fldCharType="begin"/>
        </w:r>
        <w:r>
          <w:rPr>
            <w:noProof/>
            <w:webHidden/>
          </w:rPr>
          <w:instrText xml:space="preserve"> PAGEREF _Toc509327205 \h </w:instrText>
        </w:r>
        <w:r>
          <w:rPr>
            <w:noProof/>
            <w:webHidden/>
          </w:rPr>
        </w:r>
        <w:r>
          <w:rPr>
            <w:noProof/>
            <w:webHidden/>
          </w:rPr>
          <w:fldChar w:fldCharType="separate"/>
        </w:r>
        <w:r>
          <w:rPr>
            <w:noProof/>
            <w:webHidden/>
          </w:rPr>
          <w:t>7</w:t>
        </w:r>
        <w:r>
          <w:rPr>
            <w:noProof/>
            <w:webHidden/>
          </w:rPr>
          <w:fldChar w:fldCharType="end"/>
        </w:r>
      </w:hyperlink>
    </w:p>
    <w:p w:rsidR="005E086E" w:rsidRDefault="005E086E">
      <w:pPr>
        <w:pStyle w:val="TM1"/>
        <w:tabs>
          <w:tab w:val="left" w:pos="440"/>
          <w:tab w:val="right" w:leader="dot" w:pos="9062"/>
        </w:tabs>
        <w:rPr>
          <w:rFonts w:asciiTheme="minorHAnsi" w:eastAsiaTheme="minorEastAsia" w:hAnsiTheme="minorHAnsi" w:cstheme="minorBidi"/>
          <w:noProof/>
          <w:szCs w:val="22"/>
          <w:lang w:eastAsia="fr-FR"/>
        </w:rPr>
      </w:pPr>
      <w:hyperlink w:anchor="_Toc509327208" w:history="1">
        <w:r w:rsidRPr="00D45BF5">
          <w:rPr>
            <w:rStyle w:val="Lienhypertexte"/>
            <w:noProof/>
          </w:rPr>
          <w:t>5.</w:t>
        </w:r>
        <w:r>
          <w:rPr>
            <w:rFonts w:asciiTheme="minorHAnsi" w:eastAsiaTheme="minorEastAsia" w:hAnsiTheme="minorHAnsi" w:cstheme="minorBidi"/>
            <w:noProof/>
            <w:szCs w:val="22"/>
            <w:lang w:eastAsia="fr-FR"/>
          </w:rPr>
          <w:tab/>
        </w:r>
        <w:r w:rsidRPr="00D45BF5">
          <w:rPr>
            <w:rStyle w:val="Lienhypertexte"/>
            <w:noProof/>
          </w:rPr>
          <w:t>Un système d’attribution plus juste, plus efficace et plus objectif ?</w:t>
        </w:r>
        <w:r>
          <w:rPr>
            <w:noProof/>
            <w:webHidden/>
          </w:rPr>
          <w:tab/>
        </w:r>
        <w:r>
          <w:rPr>
            <w:noProof/>
            <w:webHidden/>
          </w:rPr>
          <w:fldChar w:fldCharType="begin"/>
        </w:r>
        <w:r>
          <w:rPr>
            <w:noProof/>
            <w:webHidden/>
          </w:rPr>
          <w:instrText xml:space="preserve"> PAGEREF _Toc509327208 \h </w:instrText>
        </w:r>
        <w:r>
          <w:rPr>
            <w:noProof/>
            <w:webHidden/>
          </w:rPr>
        </w:r>
        <w:r>
          <w:rPr>
            <w:noProof/>
            <w:webHidden/>
          </w:rPr>
          <w:fldChar w:fldCharType="separate"/>
        </w:r>
        <w:r>
          <w:rPr>
            <w:noProof/>
            <w:webHidden/>
          </w:rPr>
          <w:t>11</w:t>
        </w:r>
        <w:r>
          <w:rPr>
            <w:noProof/>
            <w:webHidden/>
          </w:rPr>
          <w:fldChar w:fldCharType="end"/>
        </w:r>
      </w:hyperlink>
    </w:p>
    <w:p w:rsidR="005E086E" w:rsidRDefault="005E086E">
      <w:pPr>
        <w:pStyle w:val="TM1"/>
        <w:tabs>
          <w:tab w:val="left" w:pos="440"/>
          <w:tab w:val="right" w:leader="dot" w:pos="9062"/>
        </w:tabs>
        <w:rPr>
          <w:rFonts w:asciiTheme="minorHAnsi" w:eastAsiaTheme="minorEastAsia" w:hAnsiTheme="minorHAnsi" w:cstheme="minorBidi"/>
          <w:noProof/>
          <w:szCs w:val="22"/>
          <w:lang w:eastAsia="fr-FR"/>
        </w:rPr>
      </w:pPr>
      <w:hyperlink w:anchor="_Toc509327209" w:history="1">
        <w:r w:rsidRPr="00D45BF5">
          <w:rPr>
            <w:rStyle w:val="Lienhypertexte"/>
            <w:noProof/>
          </w:rPr>
          <w:t>6.</w:t>
        </w:r>
        <w:r>
          <w:rPr>
            <w:rFonts w:asciiTheme="minorHAnsi" w:eastAsiaTheme="minorEastAsia" w:hAnsiTheme="minorHAnsi" w:cstheme="minorBidi"/>
            <w:noProof/>
            <w:szCs w:val="22"/>
            <w:lang w:eastAsia="fr-FR"/>
          </w:rPr>
          <w:tab/>
        </w:r>
        <w:r w:rsidRPr="00D45BF5">
          <w:rPr>
            <w:rStyle w:val="Lienhypertexte"/>
            <w:noProof/>
          </w:rPr>
          <w:t>Les attributions de logements sociaux comme outil de politique sociale</w:t>
        </w:r>
        <w:r>
          <w:rPr>
            <w:noProof/>
            <w:webHidden/>
          </w:rPr>
          <w:tab/>
        </w:r>
        <w:r>
          <w:rPr>
            <w:noProof/>
            <w:webHidden/>
          </w:rPr>
          <w:fldChar w:fldCharType="begin"/>
        </w:r>
        <w:r>
          <w:rPr>
            <w:noProof/>
            <w:webHidden/>
          </w:rPr>
          <w:instrText xml:space="preserve"> PAGEREF _Toc509327209 \h </w:instrText>
        </w:r>
        <w:r>
          <w:rPr>
            <w:noProof/>
            <w:webHidden/>
          </w:rPr>
        </w:r>
        <w:r>
          <w:rPr>
            <w:noProof/>
            <w:webHidden/>
          </w:rPr>
          <w:fldChar w:fldCharType="separate"/>
        </w:r>
        <w:r>
          <w:rPr>
            <w:noProof/>
            <w:webHidden/>
          </w:rPr>
          <w:t>12</w:t>
        </w:r>
        <w:r>
          <w:rPr>
            <w:noProof/>
            <w:webHidden/>
          </w:rPr>
          <w:fldChar w:fldCharType="end"/>
        </w:r>
      </w:hyperlink>
    </w:p>
    <w:p w:rsidR="005E086E" w:rsidRDefault="005E086E">
      <w:pPr>
        <w:pStyle w:val="TM1"/>
        <w:tabs>
          <w:tab w:val="right" w:leader="dot" w:pos="9062"/>
        </w:tabs>
        <w:rPr>
          <w:rFonts w:asciiTheme="minorHAnsi" w:eastAsiaTheme="minorEastAsia" w:hAnsiTheme="minorHAnsi" w:cstheme="minorBidi"/>
          <w:noProof/>
          <w:szCs w:val="22"/>
          <w:lang w:eastAsia="fr-FR"/>
        </w:rPr>
      </w:pPr>
      <w:hyperlink w:anchor="_Toc509327214" w:history="1">
        <w:r w:rsidRPr="00D45BF5">
          <w:rPr>
            <w:rStyle w:val="Lienhypertexte"/>
            <w:noProof/>
          </w:rPr>
          <w:t>Annexe 1 – Attribution des logements sociaux : tour d’horizon des critères de priorité qui prévalent en Europe</w:t>
        </w:r>
        <w:r>
          <w:rPr>
            <w:noProof/>
            <w:webHidden/>
          </w:rPr>
          <w:tab/>
        </w:r>
        <w:r>
          <w:rPr>
            <w:noProof/>
            <w:webHidden/>
          </w:rPr>
          <w:fldChar w:fldCharType="begin"/>
        </w:r>
        <w:r>
          <w:rPr>
            <w:noProof/>
            <w:webHidden/>
          </w:rPr>
          <w:instrText xml:space="preserve"> PAGEREF _Toc509327214 \h </w:instrText>
        </w:r>
        <w:r>
          <w:rPr>
            <w:noProof/>
            <w:webHidden/>
          </w:rPr>
        </w:r>
        <w:r>
          <w:rPr>
            <w:noProof/>
            <w:webHidden/>
          </w:rPr>
          <w:fldChar w:fldCharType="separate"/>
        </w:r>
        <w:r>
          <w:rPr>
            <w:noProof/>
            <w:webHidden/>
          </w:rPr>
          <w:t>18</w:t>
        </w:r>
        <w:r>
          <w:rPr>
            <w:noProof/>
            <w:webHidden/>
          </w:rPr>
          <w:fldChar w:fldCharType="end"/>
        </w:r>
      </w:hyperlink>
    </w:p>
    <w:p w:rsidR="005E086E" w:rsidRDefault="005E086E">
      <w:pPr>
        <w:pStyle w:val="TM1"/>
        <w:tabs>
          <w:tab w:val="right" w:leader="dot" w:pos="9062"/>
        </w:tabs>
        <w:rPr>
          <w:rFonts w:asciiTheme="minorHAnsi" w:eastAsiaTheme="minorEastAsia" w:hAnsiTheme="minorHAnsi" w:cstheme="minorBidi"/>
          <w:noProof/>
          <w:szCs w:val="22"/>
          <w:lang w:eastAsia="fr-FR"/>
        </w:rPr>
      </w:pPr>
      <w:hyperlink w:anchor="_Toc509327215" w:history="1">
        <w:r w:rsidRPr="00D45BF5">
          <w:rPr>
            <w:rStyle w:val="Lienhypertexte"/>
            <w:noProof/>
          </w:rPr>
          <w:t>Annexe 2 – Lettre ouverte à M. Sarkozy et à Mme Boutin sur les conséquences du projet de loi concernant les locataires des logements sociaux</w:t>
        </w:r>
        <w:r>
          <w:rPr>
            <w:noProof/>
            <w:webHidden/>
          </w:rPr>
          <w:tab/>
        </w:r>
        <w:r>
          <w:rPr>
            <w:noProof/>
            <w:webHidden/>
          </w:rPr>
          <w:fldChar w:fldCharType="begin"/>
        </w:r>
        <w:r>
          <w:rPr>
            <w:noProof/>
            <w:webHidden/>
          </w:rPr>
          <w:instrText xml:space="preserve"> PAGEREF _Toc509327215 \h </w:instrText>
        </w:r>
        <w:r>
          <w:rPr>
            <w:noProof/>
            <w:webHidden/>
          </w:rPr>
        </w:r>
        <w:r>
          <w:rPr>
            <w:noProof/>
            <w:webHidden/>
          </w:rPr>
          <w:fldChar w:fldCharType="separate"/>
        </w:r>
        <w:r>
          <w:rPr>
            <w:noProof/>
            <w:webHidden/>
          </w:rPr>
          <w:t>20</w:t>
        </w:r>
        <w:r>
          <w:rPr>
            <w:noProof/>
            <w:webHidden/>
          </w:rPr>
          <w:fldChar w:fldCharType="end"/>
        </w:r>
      </w:hyperlink>
    </w:p>
    <w:p w:rsidR="005E086E" w:rsidRDefault="005E086E">
      <w:pPr>
        <w:pStyle w:val="TM1"/>
        <w:tabs>
          <w:tab w:val="right" w:leader="dot" w:pos="9062"/>
        </w:tabs>
        <w:rPr>
          <w:rFonts w:asciiTheme="minorHAnsi" w:eastAsiaTheme="minorEastAsia" w:hAnsiTheme="minorHAnsi" w:cstheme="minorBidi"/>
          <w:noProof/>
          <w:szCs w:val="22"/>
          <w:lang w:eastAsia="fr-FR"/>
        </w:rPr>
      </w:pPr>
      <w:hyperlink w:anchor="_Toc509327216" w:history="1">
        <w:r w:rsidRPr="00D45BF5">
          <w:rPr>
            <w:rStyle w:val="Lienhypertexte"/>
            <w:noProof/>
          </w:rPr>
          <w:t>Annexe 3 – Transparence des attributions de logements sociaux : le chantier est ouvert</w:t>
        </w:r>
        <w:r>
          <w:rPr>
            <w:noProof/>
            <w:webHidden/>
          </w:rPr>
          <w:tab/>
        </w:r>
        <w:r>
          <w:rPr>
            <w:noProof/>
            <w:webHidden/>
          </w:rPr>
          <w:fldChar w:fldCharType="begin"/>
        </w:r>
        <w:r>
          <w:rPr>
            <w:noProof/>
            <w:webHidden/>
          </w:rPr>
          <w:instrText xml:space="preserve"> PAGEREF _Toc509327216 \h </w:instrText>
        </w:r>
        <w:r>
          <w:rPr>
            <w:noProof/>
            <w:webHidden/>
          </w:rPr>
        </w:r>
        <w:r>
          <w:rPr>
            <w:noProof/>
            <w:webHidden/>
          </w:rPr>
          <w:fldChar w:fldCharType="separate"/>
        </w:r>
        <w:r>
          <w:rPr>
            <w:noProof/>
            <w:webHidden/>
          </w:rPr>
          <w:t>21</w:t>
        </w:r>
        <w:r>
          <w:rPr>
            <w:noProof/>
            <w:webHidden/>
          </w:rPr>
          <w:fldChar w:fldCharType="end"/>
        </w:r>
      </w:hyperlink>
    </w:p>
    <w:p w:rsidR="005E086E" w:rsidRDefault="005E086E">
      <w:pPr>
        <w:pStyle w:val="TM1"/>
        <w:tabs>
          <w:tab w:val="right" w:leader="dot" w:pos="9062"/>
        </w:tabs>
        <w:rPr>
          <w:rFonts w:asciiTheme="minorHAnsi" w:eastAsiaTheme="minorEastAsia" w:hAnsiTheme="minorHAnsi" w:cstheme="minorBidi"/>
          <w:noProof/>
          <w:szCs w:val="22"/>
          <w:lang w:eastAsia="fr-FR"/>
        </w:rPr>
      </w:pPr>
      <w:hyperlink w:anchor="_Toc509327219" w:history="1">
        <w:r w:rsidRPr="00D45BF5">
          <w:rPr>
            <w:rStyle w:val="Lienhypertexte"/>
            <w:noProof/>
          </w:rPr>
          <w:t>Annexe 4 – HLM : ces villes peu ouvertes aux publics prioritaires</w:t>
        </w:r>
        <w:r>
          <w:rPr>
            <w:noProof/>
            <w:webHidden/>
          </w:rPr>
          <w:tab/>
        </w:r>
        <w:r>
          <w:rPr>
            <w:noProof/>
            <w:webHidden/>
          </w:rPr>
          <w:fldChar w:fldCharType="begin"/>
        </w:r>
        <w:r>
          <w:rPr>
            <w:noProof/>
            <w:webHidden/>
          </w:rPr>
          <w:instrText xml:space="preserve"> PAGEREF _Toc509327219 \h </w:instrText>
        </w:r>
        <w:r>
          <w:rPr>
            <w:noProof/>
            <w:webHidden/>
          </w:rPr>
        </w:r>
        <w:r>
          <w:rPr>
            <w:noProof/>
            <w:webHidden/>
          </w:rPr>
          <w:fldChar w:fldCharType="separate"/>
        </w:r>
        <w:r>
          <w:rPr>
            <w:noProof/>
            <w:webHidden/>
          </w:rPr>
          <w:t>23</w:t>
        </w:r>
        <w:r>
          <w:rPr>
            <w:noProof/>
            <w:webHidden/>
          </w:rPr>
          <w:fldChar w:fldCharType="end"/>
        </w:r>
      </w:hyperlink>
    </w:p>
    <w:p w:rsidR="005E086E" w:rsidRDefault="005E086E">
      <w:pPr>
        <w:pStyle w:val="TM1"/>
        <w:tabs>
          <w:tab w:val="right" w:leader="dot" w:pos="9062"/>
        </w:tabs>
        <w:rPr>
          <w:rFonts w:asciiTheme="minorHAnsi" w:eastAsiaTheme="minorEastAsia" w:hAnsiTheme="minorHAnsi" w:cstheme="minorBidi"/>
          <w:noProof/>
          <w:szCs w:val="22"/>
          <w:lang w:eastAsia="fr-FR"/>
        </w:rPr>
      </w:pPr>
      <w:hyperlink w:anchor="_Toc509327221" w:history="1">
        <w:r w:rsidRPr="00D45BF5">
          <w:rPr>
            <w:rStyle w:val="Lienhypertexte"/>
            <w:noProof/>
          </w:rPr>
          <w:t>Annexe 5 – L’influence des différents contingents de réservations dans les attributions</w:t>
        </w:r>
        <w:r>
          <w:rPr>
            <w:noProof/>
            <w:webHidden/>
          </w:rPr>
          <w:tab/>
        </w:r>
        <w:r>
          <w:rPr>
            <w:noProof/>
            <w:webHidden/>
          </w:rPr>
          <w:fldChar w:fldCharType="begin"/>
        </w:r>
        <w:r>
          <w:rPr>
            <w:noProof/>
            <w:webHidden/>
          </w:rPr>
          <w:instrText xml:space="preserve"> PAGEREF _Toc509327221 \h </w:instrText>
        </w:r>
        <w:r>
          <w:rPr>
            <w:noProof/>
            <w:webHidden/>
          </w:rPr>
        </w:r>
        <w:r>
          <w:rPr>
            <w:noProof/>
            <w:webHidden/>
          </w:rPr>
          <w:fldChar w:fldCharType="separate"/>
        </w:r>
        <w:r>
          <w:rPr>
            <w:noProof/>
            <w:webHidden/>
          </w:rPr>
          <w:t>25</w:t>
        </w:r>
        <w:r>
          <w:rPr>
            <w:noProof/>
            <w:webHidden/>
          </w:rPr>
          <w:fldChar w:fldCharType="end"/>
        </w:r>
      </w:hyperlink>
    </w:p>
    <w:p w:rsidR="005E086E" w:rsidRDefault="005E086E">
      <w:pPr>
        <w:pStyle w:val="TM1"/>
        <w:tabs>
          <w:tab w:val="right" w:leader="dot" w:pos="9062"/>
        </w:tabs>
        <w:rPr>
          <w:rFonts w:asciiTheme="minorHAnsi" w:eastAsiaTheme="minorEastAsia" w:hAnsiTheme="minorHAnsi" w:cstheme="minorBidi"/>
          <w:noProof/>
          <w:szCs w:val="22"/>
          <w:lang w:eastAsia="fr-FR"/>
        </w:rPr>
      </w:pPr>
      <w:hyperlink w:anchor="_Toc509327222" w:history="1">
        <w:r w:rsidRPr="00D45BF5">
          <w:rPr>
            <w:rStyle w:val="Lienhypertexte"/>
            <w:noProof/>
          </w:rPr>
          <w:t>Annexe 6 – Loi « Égalité et Citoyenneté » - volet attribution des logements sociaux</w:t>
        </w:r>
        <w:r>
          <w:rPr>
            <w:noProof/>
            <w:webHidden/>
          </w:rPr>
          <w:tab/>
        </w:r>
        <w:r>
          <w:rPr>
            <w:noProof/>
            <w:webHidden/>
          </w:rPr>
          <w:fldChar w:fldCharType="begin"/>
        </w:r>
        <w:r>
          <w:rPr>
            <w:noProof/>
            <w:webHidden/>
          </w:rPr>
          <w:instrText xml:space="preserve"> PAGEREF _Toc509327222 \h </w:instrText>
        </w:r>
        <w:r>
          <w:rPr>
            <w:noProof/>
            <w:webHidden/>
          </w:rPr>
        </w:r>
        <w:r>
          <w:rPr>
            <w:noProof/>
            <w:webHidden/>
          </w:rPr>
          <w:fldChar w:fldCharType="separate"/>
        </w:r>
        <w:r>
          <w:rPr>
            <w:noProof/>
            <w:webHidden/>
          </w:rPr>
          <w:t>26</w:t>
        </w:r>
        <w:r>
          <w:rPr>
            <w:noProof/>
            <w:webHidden/>
          </w:rPr>
          <w:fldChar w:fldCharType="end"/>
        </w:r>
      </w:hyperlink>
    </w:p>
    <w:p w:rsidR="00952600" w:rsidRPr="00743423" w:rsidRDefault="00952600" w:rsidP="00EC585C">
      <w:r>
        <w:fldChar w:fldCharType="end"/>
      </w:r>
    </w:p>
    <w:p w:rsidR="00EC585C" w:rsidRDefault="00EC585C" w:rsidP="00EC585C">
      <w:r>
        <w:br w:type="page"/>
      </w:r>
    </w:p>
    <w:p w:rsidR="00EC585C" w:rsidRPr="00EC585C" w:rsidRDefault="00EC585C" w:rsidP="00EC585C">
      <w:pPr>
        <w:jc w:val="center"/>
        <w:rPr>
          <w:sz w:val="56"/>
          <w:szCs w:val="56"/>
        </w:rPr>
      </w:pPr>
      <w:r w:rsidRPr="00EC585C">
        <w:rPr>
          <w:sz w:val="56"/>
          <w:szCs w:val="56"/>
        </w:rPr>
        <w:lastRenderedPageBreak/>
        <w:t>Les attributions des logements sociaux : des objectifs inconciliables ?</w:t>
      </w:r>
    </w:p>
    <w:p w:rsidR="00EC585C" w:rsidRDefault="00EC585C" w:rsidP="00EC585C"/>
    <w:p w:rsidR="00EC585C" w:rsidRPr="00EC585C" w:rsidRDefault="00421827" w:rsidP="00EC585C">
      <w:pPr>
        <w:ind w:left="4536"/>
        <w:rPr>
          <w:i/>
        </w:rPr>
      </w:pPr>
      <w:r w:rsidRPr="00EC585C">
        <w:rPr>
          <w:i/>
        </w:rPr>
        <w:t>« </w:t>
      </w:r>
      <w:r w:rsidR="00D70A63" w:rsidRPr="00EC585C">
        <w:rPr>
          <w:i/>
        </w:rPr>
        <w:t xml:space="preserve">Nous ne vivons que de contradictions et pour des contradictions, la vie est tragédie et lutte perpétuelle sans victoire et sans espoir de victoire : elle est contradiction </w:t>
      </w:r>
      <w:r w:rsidRPr="00EC585C">
        <w:rPr>
          <w:i/>
        </w:rPr>
        <w:t>»</w:t>
      </w:r>
      <w:r w:rsidR="00EC585C" w:rsidRPr="00EC585C">
        <w:rPr>
          <w:i/>
        </w:rPr>
        <w:t>.</w:t>
      </w:r>
    </w:p>
    <w:p w:rsidR="00C26C40" w:rsidRPr="00965ED8" w:rsidRDefault="00D70A63" w:rsidP="00EC585C">
      <w:pPr>
        <w:ind w:left="4536"/>
      </w:pPr>
      <w:r>
        <w:t>Miguel de Unamuno</w:t>
      </w:r>
      <w:r w:rsidR="00207B37">
        <w:t xml:space="preserve">     </w:t>
      </w:r>
      <w:r w:rsidR="00965ED8" w:rsidRPr="00965ED8">
        <w:t>.</w:t>
      </w:r>
    </w:p>
    <w:p w:rsidR="00FB0A8D" w:rsidRDefault="00FB0A8D" w:rsidP="00EC585C">
      <w:pPr>
        <w:pStyle w:val="Titre1"/>
      </w:pPr>
      <w:bookmarkStart w:id="0" w:name="_Toc509327202"/>
      <w:r w:rsidRPr="00EC585C">
        <w:t>Introduction</w:t>
      </w:r>
      <w:bookmarkEnd w:id="0"/>
    </w:p>
    <w:p w:rsidR="00B7538C" w:rsidRPr="00EC585C" w:rsidRDefault="00B7538C" w:rsidP="00EC585C">
      <w:r w:rsidRPr="00EC585C">
        <w:t xml:space="preserve">La loi encadre </w:t>
      </w:r>
      <w:r w:rsidR="00AA5E4D" w:rsidRPr="00EC585C">
        <w:t xml:space="preserve">étroitement </w:t>
      </w:r>
      <w:r w:rsidRPr="00EC585C">
        <w:t xml:space="preserve">les attributions </w:t>
      </w:r>
      <w:r w:rsidR="005F59D0" w:rsidRPr="00EC585C">
        <w:t xml:space="preserve">des logements </w:t>
      </w:r>
      <w:r w:rsidRPr="00EC585C">
        <w:t>HLM</w:t>
      </w:r>
      <w:r w:rsidR="00871518" w:rsidRPr="00EC585C">
        <w:footnoteReference w:id="1"/>
      </w:r>
      <w:r w:rsidR="00945EA8" w:rsidRPr="00EC585C">
        <w:t>,</w:t>
      </w:r>
      <w:r w:rsidRPr="00EC585C">
        <w:t xml:space="preserve"> tant en ce qui concerne les publics </w:t>
      </w:r>
      <w:r w:rsidR="00FA06B5" w:rsidRPr="00EC585C">
        <w:t xml:space="preserve">cibles </w:t>
      </w:r>
      <w:r w:rsidRPr="00EC585C">
        <w:t xml:space="preserve">que les conditions de choix des locataires éligibles. </w:t>
      </w:r>
      <w:r w:rsidR="00FA06B5" w:rsidRPr="00EC585C">
        <w:t>Deux raisons principales expliquent cet encadrement</w:t>
      </w:r>
      <w:r w:rsidR="00067006" w:rsidRPr="00EC585C">
        <w:t>. Premièrement,</w:t>
      </w:r>
      <w:r w:rsidRPr="00EC585C">
        <w:t xml:space="preserve"> une demande très largement supérieure à l’offre, ce qui oblige à des </w:t>
      </w:r>
      <w:r w:rsidR="00AA5E4D" w:rsidRPr="00EC585C">
        <w:t xml:space="preserve">priorités </w:t>
      </w:r>
      <w:r w:rsidR="00A96208" w:rsidRPr="00EC585C">
        <w:t xml:space="preserve">et à des choix. </w:t>
      </w:r>
      <w:r w:rsidR="00945EA8" w:rsidRPr="00EC585C">
        <w:t xml:space="preserve">L’instauration du Droit au Logement </w:t>
      </w:r>
      <w:r w:rsidR="00E06F7D" w:rsidRPr="00EC585C">
        <w:t xml:space="preserve">opposable </w:t>
      </w:r>
      <w:r w:rsidR="00945EA8" w:rsidRPr="00EC585C">
        <w:t xml:space="preserve">(Dalo) illustre </w:t>
      </w:r>
      <w:r w:rsidR="00C076F0" w:rsidRPr="00EC585C">
        <w:t>de manière caricaturale</w:t>
      </w:r>
      <w:r w:rsidR="003C3418" w:rsidRPr="00EC585C">
        <w:t xml:space="preserve"> </w:t>
      </w:r>
      <w:r w:rsidR="00945EA8" w:rsidRPr="00EC585C">
        <w:t>cet état de fait</w:t>
      </w:r>
      <w:r w:rsidR="00945EA8" w:rsidRPr="00EC585C">
        <w:rPr>
          <w:rStyle w:val="Appelnotedebasdep"/>
          <w:vertAlign w:val="baseline"/>
        </w:rPr>
        <w:footnoteReference w:id="2"/>
      </w:r>
      <w:r w:rsidR="00945EA8" w:rsidRPr="00EC585C">
        <w:t xml:space="preserve">. </w:t>
      </w:r>
      <w:r w:rsidR="00FA06B5" w:rsidRPr="00EC585C">
        <w:t>Deuxièmement, disposer d’un logement HLM constitue un avantage financier indéniable qui peut conduire à des dérives</w:t>
      </w:r>
      <w:r w:rsidR="004D325C" w:rsidRPr="00EC585C">
        <w:rPr>
          <w:rStyle w:val="Appelnotedebasdep"/>
          <w:vertAlign w:val="baseline"/>
        </w:rPr>
        <w:footnoteReference w:id="3"/>
      </w:r>
      <w:r w:rsidR="00FA06B5" w:rsidRPr="00EC585C">
        <w:t xml:space="preserve">. </w:t>
      </w:r>
      <w:r w:rsidR="00A96208" w:rsidRPr="00EC585C">
        <w:t xml:space="preserve">C’est précisément sur </w:t>
      </w:r>
      <w:r w:rsidR="00B665A9" w:rsidRPr="00EC585C">
        <w:t xml:space="preserve">la </w:t>
      </w:r>
      <w:r w:rsidR="00945EA8" w:rsidRPr="00EC585C">
        <w:t>question du choix</w:t>
      </w:r>
      <w:r w:rsidR="00A96208" w:rsidRPr="00EC585C">
        <w:t xml:space="preserve"> </w:t>
      </w:r>
      <w:r w:rsidR="00B665A9" w:rsidRPr="00EC585C">
        <w:t xml:space="preserve">des attributaires </w:t>
      </w:r>
      <w:r w:rsidR="00A96208" w:rsidRPr="00EC585C">
        <w:t xml:space="preserve">que se cristallisent les critiques et les enjeux. Dans un monde idéal, une parfaite transparence </w:t>
      </w:r>
      <w:r w:rsidR="007E5237" w:rsidRPr="00EC585C">
        <w:t xml:space="preserve">à la fois </w:t>
      </w:r>
      <w:r w:rsidR="00A96208" w:rsidRPr="00EC585C">
        <w:t>dans les critères et les choix s’impose. Dans certains pays, pour assurer une parfaite neutralité, les choix parmi les ménages éligibles ayant déposé un dossier se f</w:t>
      </w:r>
      <w:r w:rsidR="003C3418" w:rsidRPr="00EC585C">
        <w:t>on</w:t>
      </w:r>
      <w:r w:rsidR="00A96208" w:rsidRPr="00EC585C">
        <w:t>t par tirage au sort. Il ne peut y avoir</w:t>
      </w:r>
      <w:r w:rsidR="00D24636" w:rsidRPr="00EC585C">
        <w:t>,</w:t>
      </w:r>
      <w:r w:rsidR="00A96208" w:rsidRPr="00EC585C">
        <w:t xml:space="preserve"> dans ces conditions</w:t>
      </w:r>
      <w:r w:rsidR="00D24636" w:rsidRPr="00EC585C">
        <w:t>,</w:t>
      </w:r>
      <w:r w:rsidR="00A96208" w:rsidRPr="00EC585C">
        <w:t xml:space="preserve"> de critique de favoritisme, de clientélisme </w:t>
      </w:r>
      <w:r w:rsidR="00945EA8" w:rsidRPr="00EC585C">
        <w:t>ou, pire</w:t>
      </w:r>
      <w:r w:rsidR="00A96208" w:rsidRPr="00EC585C">
        <w:t xml:space="preserve"> encore</w:t>
      </w:r>
      <w:r w:rsidR="00945EA8" w:rsidRPr="00EC585C">
        <w:t>,</w:t>
      </w:r>
      <w:r w:rsidR="00A96208" w:rsidRPr="00EC585C">
        <w:t xml:space="preserve"> de </w:t>
      </w:r>
      <w:r w:rsidR="00B665A9" w:rsidRPr="00EC585C">
        <w:t>discrimination</w:t>
      </w:r>
      <w:r w:rsidR="00A96208" w:rsidRPr="00EC585C">
        <w:t>.</w:t>
      </w:r>
    </w:p>
    <w:p w:rsidR="00A96208" w:rsidRDefault="00DB48A1" w:rsidP="00EC585C">
      <w:r>
        <w:t xml:space="preserve">Toutefois, d’autres critères, liés aux nécessités territoriales, d’équilibre de peuplement, etc. </w:t>
      </w:r>
      <w:r w:rsidR="00945EA8">
        <w:t>méritent considération</w:t>
      </w:r>
      <w:r>
        <w:t xml:space="preserve">. Toute priorisation qui introduirait ces dimensions ne peut </w:t>
      </w:r>
      <w:r w:rsidR="007E5237">
        <w:t>être systématiquement taxée</w:t>
      </w:r>
      <w:r>
        <w:t xml:space="preserve"> d</w:t>
      </w:r>
      <w:r w:rsidR="007E5237">
        <w:t>e</w:t>
      </w:r>
      <w:r>
        <w:t xml:space="preserve"> clientélisme ou d</w:t>
      </w:r>
      <w:r w:rsidR="007E5237">
        <w:t>e</w:t>
      </w:r>
      <w:r>
        <w:t xml:space="preserve"> favoritisme.</w:t>
      </w:r>
      <w:r w:rsidR="00D731C5">
        <w:t xml:space="preserve"> </w:t>
      </w:r>
      <w:r w:rsidR="00421827">
        <w:t>T</w:t>
      </w:r>
      <w:r w:rsidR="00B71A3B">
        <w:t>out est cependant affaire de degré</w:t>
      </w:r>
      <w:r w:rsidR="007E5237">
        <w:t>,</w:t>
      </w:r>
      <w:r w:rsidR="00B71A3B">
        <w:t xml:space="preserve"> de proportion, de motivation et de pratique</w:t>
      </w:r>
      <w:r w:rsidR="00D731C5">
        <w:t xml:space="preserve">, mais </w:t>
      </w:r>
      <w:r w:rsidR="00E36D2A">
        <w:t>aussi</w:t>
      </w:r>
      <w:r w:rsidR="00D731C5">
        <w:t xml:space="preserve"> de transparence dans les procédures internes</w:t>
      </w:r>
      <w:r w:rsidR="00B71A3B">
        <w:t xml:space="preserve">. La frontière </w:t>
      </w:r>
      <w:r w:rsidR="00945EA8">
        <w:t>reste</w:t>
      </w:r>
      <w:r w:rsidR="003C3418">
        <w:t>,</w:t>
      </w:r>
      <w:r w:rsidR="00AB022C">
        <w:t xml:space="preserve"> en effet</w:t>
      </w:r>
      <w:r w:rsidR="003C3418">
        <w:t>,</w:t>
      </w:r>
      <w:r w:rsidR="00AB022C">
        <w:t xml:space="preserve"> parfois </w:t>
      </w:r>
      <w:r w:rsidR="00B71A3B">
        <w:t xml:space="preserve">floue </w:t>
      </w:r>
      <w:r w:rsidR="007E5237">
        <w:t xml:space="preserve">entre </w:t>
      </w:r>
      <w:r w:rsidR="00B71A3B">
        <w:t>choix raisonné</w:t>
      </w:r>
      <w:r w:rsidR="006C6230">
        <w:t xml:space="preserve"> et pratique scandaleuse, ce qui</w:t>
      </w:r>
      <w:r w:rsidR="0073465E">
        <w:t xml:space="preserve"> alimente, depuis de nombreuses années, débats et polémiques</w:t>
      </w:r>
      <w:r w:rsidR="006C6230">
        <w:t>.</w:t>
      </w:r>
    </w:p>
    <w:p w:rsidR="006C6230" w:rsidRDefault="006C6230" w:rsidP="00EC585C">
      <w:r>
        <w:t>Cette recherche de l’équilibre, entre transparence totale et nécessité de prendre en compte les contraintes de gestion</w:t>
      </w:r>
      <w:r w:rsidR="00A777D2">
        <w:t>,</w:t>
      </w:r>
      <w:r>
        <w:t xml:space="preserve"> </w:t>
      </w:r>
      <w:r w:rsidR="00945EA8">
        <w:t>suscite</w:t>
      </w:r>
      <w:r w:rsidR="005E61D1">
        <w:t xml:space="preserve"> depuis de nombreuses années débats et réformes, sans que</w:t>
      </w:r>
      <w:r w:rsidR="0038526F">
        <w:t>,</w:t>
      </w:r>
      <w:r w:rsidR="005E61D1">
        <w:t xml:space="preserve"> pour autant</w:t>
      </w:r>
      <w:r w:rsidR="0038526F">
        <w:t>,</w:t>
      </w:r>
      <w:r w:rsidR="005E61D1">
        <w:t xml:space="preserve"> un consensus se dégage sur ce qu’il faudrait faire</w:t>
      </w:r>
      <w:r w:rsidR="00945EA8">
        <w:t>,</w:t>
      </w:r>
      <w:r w:rsidR="005E61D1">
        <w:t xml:space="preserve"> au-delà du constat que « le système </w:t>
      </w:r>
      <w:r w:rsidR="00421827">
        <w:t>[</w:t>
      </w:r>
      <w:r w:rsidR="005E61D1">
        <w:t>actue</w:t>
      </w:r>
      <w:r w:rsidR="00421827">
        <w:t>l]</w:t>
      </w:r>
      <w:r w:rsidR="005E61D1">
        <w:t xml:space="preserve"> des attributions est arrivé à bout de souffle »</w:t>
      </w:r>
      <w:r w:rsidR="005E61D1">
        <w:rPr>
          <w:rStyle w:val="Appelnotedebasdep"/>
        </w:rPr>
        <w:footnoteReference w:id="4"/>
      </w:r>
      <w:r w:rsidR="00FA093C">
        <w:t xml:space="preserve">. Le </w:t>
      </w:r>
      <w:r w:rsidR="00945EA8">
        <w:t>sujet connaît, comme d’autres, s</w:t>
      </w:r>
      <w:r w:rsidR="00FA093C">
        <w:t xml:space="preserve">es effets de mode. </w:t>
      </w:r>
      <w:r w:rsidR="00FA093C">
        <w:lastRenderedPageBreak/>
        <w:t xml:space="preserve">Le recours à des méthodes de </w:t>
      </w:r>
      <w:r w:rsidR="00DD3D95">
        <w:rPr>
          <w:i/>
        </w:rPr>
        <w:t>scor</w:t>
      </w:r>
      <w:r w:rsidR="00FA093C" w:rsidRPr="00887B42">
        <w:rPr>
          <w:i/>
        </w:rPr>
        <w:t>ing</w:t>
      </w:r>
      <w:r w:rsidR="00FA093C">
        <w:t xml:space="preserve">, basé sur des expériences étrangères (cf. </w:t>
      </w:r>
      <w:r w:rsidR="007E5237">
        <w:t xml:space="preserve">annexe </w:t>
      </w:r>
      <w:r w:rsidR="00FA093C">
        <w:t xml:space="preserve">1) en particulier dans les pays </w:t>
      </w:r>
      <w:r w:rsidR="0038526F">
        <w:t xml:space="preserve">de l’Europe du Nord, </w:t>
      </w:r>
      <w:r w:rsidR="00421827">
        <w:t xml:space="preserve">suscite </w:t>
      </w:r>
      <w:r w:rsidR="00FA093C">
        <w:t xml:space="preserve">aujourd’hui beaucoup </w:t>
      </w:r>
      <w:r w:rsidR="00421827">
        <w:t>d’engouement</w:t>
      </w:r>
      <w:r w:rsidR="00FA093C">
        <w:t xml:space="preserve"> et</w:t>
      </w:r>
      <w:r w:rsidR="00600E5B">
        <w:t xml:space="preserve"> a</w:t>
      </w:r>
      <w:r w:rsidR="00FA093C">
        <w:t xml:space="preserve"> fait l’objet de nombreuses expérimentations</w:t>
      </w:r>
      <w:r w:rsidR="00FA06B5">
        <w:rPr>
          <w:rStyle w:val="Appelnotedebasdep"/>
        </w:rPr>
        <w:footnoteReference w:id="5"/>
      </w:r>
      <w:r w:rsidR="00FA093C">
        <w:t xml:space="preserve">. Un tel </w:t>
      </w:r>
      <w:r w:rsidR="00421827">
        <w:t xml:space="preserve">procédé </w:t>
      </w:r>
      <w:r w:rsidR="001E2960">
        <w:t xml:space="preserve">ne signifie pas </w:t>
      </w:r>
      <w:r w:rsidR="0038526F">
        <w:t>uniformité</w:t>
      </w:r>
      <w:r w:rsidR="001E2960">
        <w:t xml:space="preserve"> puisqu’il permet des adaptations locales, que certains appellent de leurs vœux </w:t>
      </w:r>
      <w:r w:rsidR="00F91643">
        <w:t xml:space="preserve">alors </w:t>
      </w:r>
      <w:r w:rsidR="001E2960">
        <w:t>que d’autres</w:t>
      </w:r>
      <w:r w:rsidR="00F91643">
        <w:t>, pour éviter toute dérive,</w:t>
      </w:r>
      <w:r w:rsidR="001E2960">
        <w:t xml:space="preserve"> militent en faveur d’un fichier unique des offres disponibles </w:t>
      </w:r>
      <w:r w:rsidR="001E2960" w:rsidRPr="00A777D2">
        <w:rPr>
          <w:i/>
        </w:rPr>
        <w:t>via</w:t>
      </w:r>
      <w:r w:rsidR="001E2960">
        <w:t xml:space="preserve"> Internet. On le voit, les questions de méthode n’épuisent pas le sujet et relancent l’accusation classique de clientélisme</w:t>
      </w:r>
      <w:r w:rsidR="001E2960">
        <w:rPr>
          <w:rStyle w:val="Appelnotedebasdep"/>
        </w:rPr>
        <w:footnoteReference w:id="6"/>
      </w:r>
      <w:r w:rsidR="00B7208F">
        <w:t>.</w:t>
      </w:r>
    </w:p>
    <w:p w:rsidR="00EC3073" w:rsidRDefault="00EC3073" w:rsidP="00EC585C">
      <w:r>
        <w:t>Au-delà des aspects techniques, le sujet des attributions soulève également des préoccupation</w:t>
      </w:r>
      <w:r w:rsidR="003C3418">
        <w:t>s</w:t>
      </w:r>
      <w:r>
        <w:t xml:space="preserve"> plus larges </w:t>
      </w:r>
      <w:r w:rsidR="00756E34">
        <w:t>liées à</w:t>
      </w:r>
      <w:r>
        <w:t xml:space="preserve"> la problématique de la mixité sociale. Faut-il loger uniquement les plus démunis ? Faut-il systématiquement privilégier certains publics prioritaires, dans le </w:t>
      </w:r>
      <w:r w:rsidR="00AB022C">
        <w:t>sillage</w:t>
      </w:r>
      <w:r>
        <w:t xml:space="preserve"> du Dalo ? C’est la position défendue par exemple par la Cour des comptes</w:t>
      </w:r>
      <w:r w:rsidR="00756E34">
        <w:t>,</w:t>
      </w:r>
      <w:r>
        <w:t xml:space="preserve"> qui réitère régulièrement son exigence de « s’adresser prioritairement aux publics modestes et défavorisés en diminuant les plafonds de ressources en zone tendue</w:t>
      </w:r>
      <w:r w:rsidR="00AB022C">
        <w:t> »</w:t>
      </w:r>
      <w:r>
        <w:rPr>
          <w:rStyle w:val="Appelnotedebasdep"/>
        </w:rPr>
        <w:footnoteReference w:id="7"/>
      </w:r>
      <w:r w:rsidR="00C26C40">
        <w:t>.</w:t>
      </w:r>
      <w:r>
        <w:t xml:space="preserve"> Faut-il, au contraire</w:t>
      </w:r>
      <w:r w:rsidR="00D17139">
        <w:t xml:space="preserve"> </w:t>
      </w:r>
      <w:r w:rsidR="00756E34">
        <w:t xml:space="preserve">faire </w:t>
      </w:r>
      <w:r>
        <w:t>prévaloir la mixité à tout prix ? Ce qui, au passage, pose la délicate question de sa définition.</w:t>
      </w:r>
      <w:r w:rsidR="006A18D3">
        <w:t xml:space="preserve"> Faut-il</w:t>
      </w:r>
      <w:r w:rsidR="00B34C7B">
        <w:t>,</w:t>
      </w:r>
      <w:r w:rsidR="006A18D3">
        <w:t xml:space="preserve"> au nom de la mixité sociale</w:t>
      </w:r>
      <w:r w:rsidR="00B34C7B">
        <w:t>,</w:t>
      </w:r>
      <w:r w:rsidR="006A18D3">
        <w:t xml:space="preserve"> « interdire » toute attribution aux plus pauvres dans les quartiers prioritaires de la politique de la ville ?</w:t>
      </w:r>
      <w:r w:rsidR="006A18D3">
        <w:rPr>
          <w:rStyle w:val="Appelnotedebasdep"/>
        </w:rPr>
        <w:footnoteReference w:id="8"/>
      </w:r>
      <w:r w:rsidR="0082732D">
        <w:t xml:space="preserve"> Faut-il, autre position défendue par le monde patronal, au nom de la lutte contre le chômage, reconnaître, comme critère prioritaire parmi d’autres, la mobilité professionnelle ?</w:t>
      </w:r>
      <w:r w:rsidR="00FA06B5">
        <w:rPr>
          <w:rStyle w:val="Appelnotedebasdep"/>
        </w:rPr>
        <w:footnoteReference w:id="9"/>
      </w:r>
    </w:p>
    <w:p w:rsidR="008C66D6" w:rsidRDefault="008C66D6" w:rsidP="00EC585C">
      <w:r>
        <w:t xml:space="preserve">On le voit, la question « Que faut-il faire ? » reste </w:t>
      </w:r>
      <w:r w:rsidR="0073465E">
        <w:t>posée</w:t>
      </w:r>
      <w:r>
        <w:t xml:space="preserve">. Il est d’ailleurs </w:t>
      </w:r>
      <w:r w:rsidR="009C1C93">
        <w:t>évident</w:t>
      </w:r>
      <w:r>
        <w:t xml:space="preserve"> qu’il </w:t>
      </w:r>
      <w:r w:rsidR="00D142B1">
        <w:t>n’</w:t>
      </w:r>
      <w:r>
        <w:t xml:space="preserve">existe </w:t>
      </w:r>
      <w:r w:rsidR="00D142B1">
        <w:t xml:space="preserve">pas </w:t>
      </w:r>
      <w:r>
        <w:t>une solution idéale.</w:t>
      </w:r>
      <w:r w:rsidR="009C1C93">
        <w:t xml:space="preserve"> </w:t>
      </w:r>
      <w:r w:rsidR="00FA06B5">
        <w:t>T</w:t>
      </w:r>
      <w:r w:rsidR="006468CB">
        <w:t xml:space="preserve">out </w:t>
      </w:r>
      <w:r w:rsidR="00FA06B5">
        <w:t xml:space="preserve">dispositif </w:t>
      </w:r>
      <w:r w:rsidR="006468CB">
        <w:t>est</w:t>
      </w:r>
      <w:r w:rsidR="00FA06B5">
        <w:t>, par construction,</w:t>
      </w:r>
      <w:r w:rsidR="006468CB">
        <w:t xml:space="preserve"> bancal</w:t>
      </w:r>
      <w:r w:rsidR="00B34C7B">
        <w:t>,</w:t>
      </w:r>
      <w:r w:rsidR="006468CB">
        <w:t xml:space="preserve"> car </w:t>
      </w:r>
      <w:r w:rsidR="00FA06B5">
        <w:t xml:space="preserve">il </w:t>
      </w:r>
      <w:r w:rsidR="006468CB">
        <w:t>procède d’</w:t>
      </w:r>
      <w:r w:rsidR="0082732D">
        <w:t>ajustement</w:t>
      </w:r>
      <w:r w:rsidR="00FA06B5">
        <w:t>s multiples</w:t>
      </w:r>
      <w:r w:rsidR="0082732D">
        <w:t xml:space="preserve"> </w:t>
      </w:r>
      <w:r w:rsidR="006468CB">
        <w:t xml:space="preserve">entre des </w:t>
      </w:r>
      <w:r w:rsidR="0082732D">
        <w:t xml:space="preserve">injonctions </w:t>
      </w:r>
      <w:r w:rsidR="006468CB">
        <w:t>contradictoires</w:t>
      </w:r>
      <w:r w:rsidR="0082732D">
        <w:rPr>
          <w:rStyle w:val="Appelnotedebasdep"/>
        </w:rPr>
        <w:footnoteReference w:id="10"/>
      </w:r>
      <w:r w:rsidR="006468CB">
        <w:t>. Ceci explique qu’on légifère presque chaque année sur le sujet, d’autant plus</w:t>
      </w:r>
      <w:r>
        <w:t xml:space="preserve">, force est de </w:t>
      </w:r>
      <w:r w:rsidR="00851440">
        <w:t xml:space="preserve">le </w:t>
      </w:r>
      <w:r>
        <w:t>constater</w:t>
      </w:r>
      <w:r w:rsidR="00851440">
        <w:t>,</w:t>
      </w:r>
      <w:r>
        <w:t xml:space="preserve"> qu’il est parfois </w:t>
      </w:r>
      <w:r w:rsidR="006D279F">
        <w:t>difficile</w:t>
      </w:r>
      <w:r w:rsidR="00775D58">
        <w:t>,</w:t>
      </w:r>
      <w:r w:rsidR="006D279F">
        <w:t xml:space="preserve"> dans les discours</w:t>
      </w:r>
      <w:r w:rsidR="006468CB">
        <w:t xml:space="preserve"> et les raisonnements</w:t>
      </w:r>
      <w:r w:rsidR="006D279F">
        <w:t xml:space="preserve">, en particulier les plus négatifs, de distinguer ce qui relève de la critique spécifique </w:t>
      </w:r>
      <w:r w:rsidR="00363E09">
        <w:t xml:space="preserve">des </w:t>
      </w:r>
      <w:r w:rsidR="006D279F">
        <w:t>dispositifs d’attribution</w:t>
      </w:r>
      <w:r w:rsidR="0031187B">
        <w:t xml:space="preserve"> </w:t>
      </w:r>
      <w:r w:rsidR="00363E09">
        <w:t xml:space="preserve">et </w:t>
      </w:r>
      <w:r w:rsidR="0026180C">
        <w:t xml:space="preserve">de </w:t>
      </w:r>
      <w:r w:rsidR="00363E09">
        <w:t>jugements sur le</w:t>
      </w:r>
      <w:r w:rsidR="0026180C">
        <w:t xml:space="preserve"> manque de logements sociaux</w:t>
      </w:r>
      <w:r w:rsidR="002B443A">
        <w:t xml:space="preserve">, voire </w:t>
      </w:r>
      <w:r w:rsidR="00363E09">
        <w:t xml:space="preserve">sur le </w:t>
      </w:r>
      <w:r w:rsidR="002B443A">
        <w:t>monde HLM lui-même</w:t>
      </w:r>
      <w:r w:rsidR="0026180C">
        <w:t>.</w:t>
      </w:r>
    </w:p>
    <w:p w:rsidR="0026180C" w:rsidRDefault="0026180C" w:rsidP="00EC585C">
      <w:r>
        <w:t xml:space="preserve">Avant de revenir en détail sur les appréciations plus ou moins nuancées des uns et des autres sur le processus </w:t>
      </w:r>
      <w:r w:rsidR="00FA06B5">
        <w:t>d’attribution</w:t>
      </w:r>
      <w:r>
        <w:t>, il nous faut</w:t>
      </w:r>
      <w:r w:rsidR="009C1C93">
        <w:t xml:space="preserve"> </w:t>
      </w:r>
      <w:r w:rsidR="005F59D0">
        <w:t xml:space="preserve">nous </w:t>
      </w:r>
      <w:r w:rsidR="009C1C93">
        <w:t xml:space="preserve">remémorer </w:t>
      </w:r>
      <w:r>
        <w:t>l’historique des dispositifs et décrire le système actuellement en vigueur.</w:t>
      </w:r>
    </w:p>
    <w:p w:rsidR="0026180C" w:rsidRDefault="0026180C" w:rsidP="00EC585C">
      <w:r>
        <w:lastRenderedPageBreak/>
        <w:t xml:space="preserve">Cette présentation générale introductive serait </w:t>
      </w:r>
      <w:r w:rsidR="002B443A">
        <w:t xml:space="preserve">néanmoins </w:t>
      </w:r>
      <w:r>
        <w:t xml:space="preserve">partiale si l’on omettait de mentionner d’autres facteurs </w:t>
      </w:r>
      <w:r w:rsidR="009C1C93">
        <w:t>indissociables de complexité.</w:t>
      </w:r>
    </w:p>
    <w:p w:rsidR="0026180C" w:rsidRPr="009C1C93" w:rsidRDefault="0026180C" w:rsidP="00EC585C">
      <w:pPr>
        <w:pStyle w:val="Paragraphedeliste"/>
        <w:numPr>
          <w:ilvl w:val="0"/>
          <w:numId w:val="16"/>
        </w:numPr>
      </w:pPr>
      <w:r w:rsidRPr="009C1C93">
        <w:t xml:space="preserve">Le premier a trait aux droits multiples de réservation au profit </w:t>
      </w:r>
      <w:r w:rsidR="00C14E26">
        <w:t xml:space="preserve">principalement </w:t>
      </w:r>
      <w:r w:rsidRPr="009C1C93">
        <w:t>des Collectivités locales</w:t>
      </w:r>
      <w:r w:rsidR="00C14E26">
        <w:t>,</w:t>
      </w:r>
      <w:r w:rsidRPr="009C1C93">
        <w:t xml:space="preserve"> de l’État et d’Action Logement. Il y a là un facteur de complexité administrative </w:t>
      </w:r>
      <w:r w:rsidR="002B443A">
        <w:t xml:space="preserve">supplémentaire </w:t>
      </w:r>
      <w:r w:rsidRPr="009C1C93">
        <w:t xml:space="preserve">mais aussi un frein à la transparence </w:t>
      </w:r>
      <w:r w:rsidR="00B61292" w:rsidRPr="009C1C93">
        <w:t>dans un processus de hiérarchisation de toute</w:t>
      </w:r>
      <w:r w:rsidR="0022195D" w:rsidRPr="009C1C93">
        <w:t>s</w:t>
      </w:r>
      <w:r w:rsidR="00B61292" w:rsidRPr="009C1C93">
        <w:t xml:space="preserve"> les </w:t>
      </w:r>
      <w:r w:rsidR="0022195D" w:rsidRPr="009C1C93">
        <w:t>attributions.</w:t>
      </w:r>
    </w:p>
    <w:p w:rsidR="00B61292" w:rsidRDefault="00B61292" w:rsidP="00EC585C">
      <w:pPr>
        <w:pStyle w:val="Paragraphedeliste"/>
        <w:numPr>
          <w:ilvl w:val="0"/>
          <w:numId w:val="16"/>
        </w:numPr>
      </w:pPr>
      <w:r w:rsidRPr="00B61292">
        <w:t xml:space="preserve">Le second </w:t>
      </w:r>
      <w:r w:rsidR="003C3418">
        <w:t>tient</w:t>
      </w:r>
      <w:r w:rsidRPr="00B61292">
        <w:t xml:space="preserve"> à </w:t>
      </w:r>
      <w:r w:rsidR="002B443A">
        <w:t>la dimension européenne du sujet</w:t>
      </w:r>
      <w:r w:rsidR="007749EE">
        <w:t xml:space="preserve">. Pour faire simple, l’Europe admet le principe d’une aide massive aux HLM et </w:t>
      </w:r>
      <w:r w:rsidR="002B443A">
        <w:t xml:space="preserve">l’existence </w:t>
      </w:r>
      <w:r w:rsidR="007749EE">
        <w:t xml:space="preserve">d’un régime </w:t>
      </w:r>
      <w:r w:rsidR="002B443A">
        <w:t xml:space="preserve">fiscal dérogatoire </w:t>
      </w:r>
      <w:r w:rsidR="007749EE">
        <w:t>à condition que cela ne conduise pas à une distorsion de concurrence, en clair que les HLM logent des pauvre</w:t>
      </w:r>
      <w:r w:rsidR="004E62B5">
        <w:t>s</w:t>
      </w:r>
      <w:r w:rsidR="007749EE">
        <w:t xml:space="preserve"> et seulement des pauvres. Tout </w:t>
      </w:r>
      <w:r w:rsidR="004A4536">
        <w:t xml:space="preserve">devient alors question de </w:t>
      </w:r>
      <w:r w:rsidR="00FA06B5">
        <w:t>graduation</w:t>
      </w:r>
      <w:r w:rsidR="004A4536">
        <w:t xml:space="preserve">, sachant qu’une population cible </w:t>
      </w:r>
      <w:r w:rsidR="00940819">
        <w:t>représentant</w:t>
      </w:r>
      <w:r w:rsidR="004A4536">
        <w:t xml:space="preserve"> 80% </w:t>
      </w:r>
      <w:r w:rsidR="00940819">
        <w:t>de l’ensemble</w:t>
      </w:r>
      <w:r w:rsidR="00FA06B5">
        <w:t xml:space="preserve"> des ménages </w:t>
      </w:r>
      <w:r w:rsidR="004A4536">
        <w:t xml:space="preserve">ne saurait être assimilée aux pauvres. </w:t>
      </w:r>
      <w:r w:rsidR="004A4536" w:rsidRPr="00B34C7B">
        <w:rPr>
          <w:i/>
        </w:rPr>
        <w:t>Grosso modo</w:t>
      </w:r>
      <w:r w:rsidR="004A4536">
        <w:t>, trois modèles existent : l’universel (tous peuvent</w:t>
      </w:r>
      <w:r w:rsidR="00AB714E">
        <w:t xml:space="preserve"> accéder</w:t>
      </w:r>
      <w:r w:rsidR="00FA06B5">
        <w:t xml:space="preserve"> aux logements « sociaux »</w:t>
      </w:r>
      <w:r w:rsidR="004A4536">
        <w:t>, mais alors il y a banalisation</w:t>
      </w:r>
      <w:r w:rsidR="002B443A">
        <w:t xml:space="preserve"> des acteurs</w:t>
      </w:r>
      <w:r w:rsidR="004A4536">
        <w:t>), le résiduel (accès réservé aux plus pauvres et aides ciblées</w:t>
      </w:r>
      <w:r w:rsidR="00AB714E">
        <w:t>)</w:t>
      </w:r>
      <w:r w:rsidR="004A4536">
        <w:t>, le généraliste (ce qui</w:t>
      </w:r>
      <w:r w:rsidR="004E62B5">
        <w:t>,</w:t>
      </w:r>
      <w:r w:rsidR="004A4536">
        <w:t xml:space="preserve"> peu ou prou</w:t>
      </w:r>
      <w:r w:rsidR="004E62B5">
        <w:t>,</w:t>
      </w:r>
      <w:r w:rsidR="004A4536">
        <w:t xml:space="preserve"> tente de concilier aides non banalisées et ouverture à un public plus large que les plus pauvres</w:t>
      </w:r>
      <w:r w:rsidR="004A4536">
        <w:rPr>
          <w:rStyle w:val="Appelnotedebasdep"/>
        </w:rPr>
        <w:footnoteReference w:id="11"/>
      </w:r>
      <w:r w:rsidR="004A4536">
        <w:t xml:space="preserve">). </w:t>
      </w:r>
      <w:r w:rsidR="002B443A">
        <w:t>L</w:t>
      </w:r>
      <w:r w:rsidR="004A4536">
        <w:t xml:space="preserve">a loi Boutin de 2009 a </w:t>
      </w:r>
      <w:r w:rsidR="002B443A">
        <w:t xml:space="preserve">ainsi </w:t>
      </w:r>
      <w:r w:rsidR="004A4536">
        <w:t>prévu</w:t>
      </w:r>
      <w:r w:rsidR="00FA06B5">
        <w:t>, sur injonction indirecte de l’Europe,</w:t>
      </w:r>
      <w:r w:rsidR="004A4536">
        <w:t xml:space="preserve"> une </w:t>
      </w:r>
      <w:r w:rsidR="002B443A">
        <w:t xml:space="preserve">baisse </w:t>
      </w:r>
      <w:r w:rsidR="004A4536">
        <w:t xml:space="preserve">des plafonds </w:t>
      </w:r>
      <w:r w:rsidR="002B443A">
        <w:t xml:space="preserve">de revenus </w:t>
      </w:r>
      <w:r w:rsidR="004A4536">
        <w:t xml:space="preserve">d’éligibilité </w:t>
      </w:r>
      <w:r w:rsidR="00FA06B5">
        <w:t>a</w:t>
      </w:r>
      <w:r w:rsidR="004A4536">
        <w:t xml:space="preserve">u parc de 10,6%, ce qui </w:t>
      </w:r>
      <w:r w:rsidR="002B443A">
        <w:t xml:space="preserve">a </w:t>
      </w:r>
      <w:r w:rsidR="004A4536">
        <w:t>suscit</w:t>
      </w:r>
      <w:r w:rsidR="002B443A">
        <w:t>é</w:t>
      </w:r>
      <w:r w:rsidR="004A4536">
        <w:t xml:space="preserve"> de</w:t>
      </w:r>
      <w:r w:rsidR="00363E09">
        <w:t xml:space="preserve"> vive</w:t>
      </w:r>
      <w:r w:rsidR="004A4536">
        <w:t xml:space="preserve">s réactions (cf. </w:t>
      </w:r>
      <w:r w:rsidR="006A18D3">
        <w:t xml:space="preserve">annexe </w:t>
      </w:r>
      <w:r w:rsidR="00AB714E">
        <w:t>2</w:t>
      </w:r>
      <w:r w:rsidR="004A4536">
        <w:t>)</w:t>
      </w:r>
      <w:r w:rsidR="0073465E">
        <w:rPr>
          <w:rStyle w:val="Appelnotedebasdep"/>
        </w:rPr>
        <w:footnoteReference w:id="12"/>
      </w:r>
      <w:r w:rsidR="004A4536">
        <w:t>.</w:t>
      </w:r>
    </w:p>
    <w:p w:rsidR="004F514D" w:rsidRPr="00FB0A8D" w:rsidRDefault="00F128EC" w:rsidP="00EC585C">
      <w:pPr>
        <w:pStyle w:val="Paragraphedeliste"/>
        <w:numPr>
          <w:ilvl w:val="0"/>
          <w:numId w:val="16"/>
        </w:numPr>
      </w:pPr>
      <w:r>
        <w:t>Le</w:t>
      </w:r>
      <w:r w:rsidR="005C094C">
        <w:t xml:space="preserve"> troisième </w:t>
      </w:r>
      <w:r>
        <w:t xml:space="preserve">renvoie </w:t>
      </w:r>
      <w:r w:rsidR="002B443A">
        <w:t>au constat que la question de</w:t>
      </w:r>
      <w:r w:rsidR="004F514D">
        <w:t xml:space="preserve"> la mixité sociale </w:t>
      </w:r>
      <w:r w:rsidR="00AB022C">
        <w:t xml:space="preserve">des attributions </w:t>
      </w:r>
      <w:r w:rsidR="004F514D">
        <w:t xml:space="preserve">ne peut s’analyser indépendamment </w:t>
      </w:r>
      <w:r w:rsidR="003D4CB3">
        <w:t xml:space="preserve">de la </w:t>
      </w:r>
      <w:r w:rsidR="00A87B3F">
        <w:t>dimension</w:t>
      </w:r>
      <w:r w:rsidR="004F514D">
        <w:t xml:space="preserve"> spatial</w:t>
      </w:r>
      <w:r w:rsidR="003D4CB3">
        <w:t>e</w:t>
      </w:r>
      <w:r w:rsidR="004F514D">
        <w:t xml:space="preserve">. </w:t>
      </w:r>
      <w:r w:rsidR="003D4CB3">
        <w:t xml:space="preserve"> Un peu moins de 500 000 attributions de logements sociaux ont lieu tous les ans en France (485 000 en 2015). Les mutations internes, à savoir celles qui concernent des ménages qui ont changé de logement tout en restant dans le parc HLM, représentent environ 30% de cet ensemble (142 000 en 2015). </w:t>
      </w:r>
      <w:r w:rsidR="00AB022C">
        <w:t xml:space="preserve">Les 70% </w:t>
      </w:r>
      <w:r w:rsidR="0022572B">
        <w:t xml:space="preserve">restants </w:t>
      </w:r>
      <w:r w:rsidR="00AB022C">
        <w:t>focalisent toutes les attentions et polémiques, d</w:t>
      </w:r>
      <w:r w:rsidR="00B029A4">
        <w:t xml:space="preserve">u fait </w:t>
      </w:r>
      <w:r w:rsidR="0022572B">
        <w:t xml:space="preserve">de </w:t>
      </w:r>
      <w:r w:rsidR="00B029A4">
        <w:t>l</w:t>
      </w:r>
      <w:r w:rsidR="00B029A4" w:rsidRPr="00B029A4">
        <w:t xml:space="preserve">a </w:t>
      </w:r>
      <w:r w:rsidR="0022572B">
        <w:t xml:space="preserve">très forte </w:t>
      </w:r>
      <w:r w:rsidR="00B029A4" w:rsidRPr="00B029A4">
        <w:t xml:space="preserve">pression de la demande sur le logement social dans les territoires tendus. </w:t>
      </w:r>
      <w:r w:rsidR="003F6352">
        <w:t>Ainsi, e</w:t>
      </w:r>
      <w:r w:rsidR="00B029A4" w:rsidRPr="00B029A4">
        <w:t xml:space="preserve">n Île-de-France, où l’on recensait 634 000 demandeurs de logement social fin 2015 et 83 000 attributions au cours de l’année, le taux de succès </w:t>
      </w:r>
      <w:r w:rsidR="003F6352">
        <w:t xml:space="preserve">d’une demande </w:t>
      </w:r>
      <w:r w:rsidR="00B029A4" w:rsidRPr="00B029A4">
        <w:t>n’est que de 13%</w:t>
      </w:r>
      <w:r w:rsidR="003F6352">
        <w:t xml:space="preserve"> (contre 26% pour la France entière)</w:t>
      </w:r>
      <w:r w:rsidR="00B029A4" w:rsidRPr="00B029A4">
        <w:t>.</w:t>
      </w:r>
    </w:p>
    <w:p w:rsidR="002C20E8" w:rsidRPr="00FB0A8D" w:rsidRDefault="00750B50" w:rsidP="00EC585C">
      <w:pPr>
        <w:pStyle w:val="Titre1"/>
      </w:pPr>
      <w:bookmarkStart w:id="1" w:name="_Toc509327203"/>
      <w:r>
        <w:t>Équité en pratique</w:t>
      </w:r>
      <w:bookmarkEnd w:id="1"/>
    </w:p>
    <w:p w:rsidR="002C20E8" w:rsidRDefault="002C20E8" w:rsidP="00EC585C">
      <w:r>
        <w:t>L</w:t>
      </w:r>
      <w:r w:rsidR="003F2B97">
        <w:t>es règles d’</w:t>
      </w:r>
      <w:r>
        <w:t>att</w:t>
      </w:r>
      <w:r w:rsidR="005C53F6">
        <w:t>ribution des logements sociaux</w:t>
      </w:r>
      <w:r>
        <w:t xml:space="preserve"> s’applique</w:t>
      </w:r>
      <w:r w:rsidR="003F2B97">
        <w:t>nt</w:t>
      </w:r>
      <w:r>
        <w:t xml:space="preserve"> à tous. L’</w:t>
      </w:r>
      <w:r w:rsidR="000D2CCA">
        <w:t>intensité de l’</w:t>
      </w:r>
      <w:r>
        <w:t xml:space="preserve">activité législative </w:t>
      </w:r>
      <w:r w:rsidR="000D2CCA">
        <w:t>témoigne de</w:t>
      </w:r>
      <w:r>
        <w:t xml:space="preserve"> </w:t>
      </w:r>
      <w:r w:rsidR="003F2B97">
        <w:t xml:space="preserve">la </w:t>
      </w:r>
      <w:r>
        <w:t xml:space="preserve">préoccupation </w:t>
      </w:r>
      <w:r w:rsidR="006E4D3B">
        <w:t xml:space="preserve">de faire toujours mieux </w:t>
      </w:r>
      <w:r>
        <w:t xml:space="preserve">et </w:t>
      </w:r>
      <w:r w:rsidR="000D2CCA">
        <w:t xml:space="preserve">du </w:t>
      </w:r>
      <w:r>
        <w:t xml:space="preserve">souci </w:t>
      </w:r>
      <w:r w:rsidR="006E4D3B">
        <w:t>permanent d’apporter des corrections aux dérives observées</w:t>
      </w:r>
      <w:r>
        <w:t>.</w:t>
      </w:r>
    </w:p>
    <w:p w:rsidR="002C20E8" w:rsidRDefault="002C20E8" w:rsidP="00EC585C">
      <w:r>
        <w:t xml:space="preserve">Une procédure </w:t>
      </w:r>
      <w:r w:rsidR="006E4D3B">
        <w:t>de plus en plus encadrée</w:t>
      </w:r>
      <w:r>
        <w:t>, une responsabilité civile et pénale des acteurs, un ciblage social très marqué, une priorisation des situations spécifiques, un souci de transparence marqué</w:t>
      </w:r>
      <w:r w:rsidR="00A5109E">
        <w:t>,</w:t>
      </w:r>
      <w:r>
        <w:t xml:space="preserve"> par exemple</w:t>
      </w:r>
      <w:r w:rsidR="00A5109E">
        <w:t>,</w:t>
      </w:r>
      <w:r>
        <w:t xml:space="preserve"> par l’instauration du numéro unique</w:t>
      </w:r>
      <w:r w:rsidR="00A42C5A">
        <w:t xml:space="preserve"> d’enregistrement des demandes</w:t>
      </w:r>
      <w:r>
        <w:t>, la multiplication des chartes internes et des règlements intérieurs d’attribution laissent de moins en moins de place aux passe-droits et aux « oublis » volontaires de candidatures peu désirables.</w:t>
      </w:r>
      <w:r w:rsidR="003F2B97">
        <w:t xml:space="preserve"> L</w:t>
      </w:r>
      <w:r>
        <w:t xml:space="preserve">’État multiplie les contrôles </w:t>
      </w:r>
      <w:r w:rsidRPr="00280714">
        <w:rPr>
          <w:i/>
        </w:rPr>
        <w:lastRenderedPageBreak/>
        <w:t>via</w:t>
      </w:r>
      <w:r>
        <w:t xml:space="preserve"> l’</w:t>
      </w:r>
      <w:r w:rsidR="00750B50">
        <w:t>Agence nationale de contrôle du logement social (</w:t>
      </w:r>
      <w:r>
        <w:t>ANCOLS</w:t>
      </w:r>
      <w:r w:rsidR="00750B50">
        <w:t>)</w:t>
      </w:r>
      <w:r w:rsidR="00750B50">
        <w:rPr>
          <w:rStyle w:val="Appelnotedebasdep"/>
        </w:rPr>
        <w:footnoteReference w:id="13"/>
      </w:r>
      <w:r>
        <w:t xml:space="preserve">, la Cour des </w:t>
      </w:r>
      <w:r w:rsidR="003C3418">
        <w:t>c</w:t>
      </w:r>
      <w:r>
        <w:t>omptes, les corps d’inspection. Enfin, la loi, en particulier depuis l’instauration du Dalo, renforce le droit de recours devant les tribunaux.</w:t>
      </w:r>
    </w:p>
    <w:p w:rsidR="002C20E8" w:rsidRDefault="002C20E8" w:rsidP="00EC585C">
      <w:r>
        <w:t>Dernière évolution en date, les bailleurs sociaux, par divers canaux, précisent et affichent des critères hiérarchisés de sélection.</w:t>
      </w:r>
    </w:p>
    <w:p w:rsidR="002C20E8" w:rsidRDefault="002C20E8" w:rsidP="00EC585C">
      <w:r>
        <w:t xml:space="preserve">Le renforcement du caractère social de l’occupation du parc HLM </w:t>
      </w:r>
      <w:r w:rsidR="005C53F6">
        <w:t>constitue</w:t>
      </w:r>
      <w:r>
        <w:t>, de ce point de vue, la meilleure marque de l’absence de clientélisme, qui profite à des ménages plus riches et aux réseaux sociaux plus étendus.</w:t>
      </w:r>
    </w:p>
    <w:p w:rsidR="002C20E8" w:rsidRDefault="009016A4" w:rsidP="00EC585C">
      <w:r>
        <w:t>Quant aux failles constatées et largement médiatisées, comme, par exemple, une durée anormalement longue pour l’attribution, elle</w:t>
      </w:r>
      <w:r w:rsidR="003F2B97">
        <w:t>s</w:t>
      </w:r>
      <w:r>
        <w:t xml:space="preserve"> </w:t>
      </w:r>
      <w:r w:rsidR="003F2B97">
        <w:t xml:space="preserve">résultent </w:t>
      </w:r>
      <w:r w:rsidR="009A37D4">
        <w:t>principalement</w:t>
      </w:r>
      <w:r>
        <w:t xml:space="preserve"> de l’inadaptation, quantitative en particulier, </w:t>
      </w:r>
      <w:r w:rsidR="00CD4386">
        <w:t xml:space="preserve">du parc </w:t>
      </w:r>
      <w:r>
        <w:t>à la demande. Cet état de fait entraîne des difficultés mais ne signifie pas l’existence de pratiques amorales ou déviantes.</w:t>
      </w:r>
    </w:p>
    <w:p w:rsidR="009016A4" w:rsidRDefault="009016A4" w:rsidP="00EC585C">
      <w:r>
        <w:t xml:space="preserve">Ces constats valent aussi bien pour les </w:t>
      </w:r>
      <w:r w:rsidR="006E4D3B">
        <w:t xml:space="preserve">plus </w:t>
      </w:r>
      <w:r>
        <w:t>pauvres que pour les immigrés.</w:t>
      </w:r>
    </w:p>
    <w:p w:rsidR="009016A4" w:rsidRDefault="009016A4" w:rsidP="00EC585C">
      <w:r>
        <w:t>En résumé, l’existence de quelques cas scandaleux qui défraient la chronique et qui ne représente</w:t>
      </w:r>
      <w:r w:rsidR="003C3418">
        <w:t>nt</w:t>
      </w:r>
      <w:r>
        <w:t xml:space="preserve"> </w:t>
      </w:r>
      <w:r w:rsidR="003F2B97">
        <w:t>qu’une part</w:t>
      </w:r>
      <w:r w:rsidR="00CD4386">
        <w:t xml:space="preserve"> </w:t>
      </w:r>
      <w:r w:rsidR="005C53F6">
        <w:t xml:space="preserve">infime </w:t>
      </w:r>
      <w:r>
        <w:t xml:space="preserve">des attributions ne peut </w:t>
      </w:r>
      <w:r w:rsidR="003F2B97">
        <w:t xml:space="preserve">justifier une </w:t>
      </w:r>
      <w:r>
        <w:t>condamnation générale</w:t>
      </w:r>
      <w:r w:rsidR="00D17139">
        <w:t>, d</w:t>
      </w:r>
      <w:r>
        <w:t>’autant que la volonté permanente de corriger les défauts marginaux du système d’attribution ne se relâche pas</w:t>
      </w:r>
      <w:r w:rsidR="006E4D3B">
        <w:t xml:space="preserve"> (cf. annexe 3)</w:t>
      </w:r>
      <w:r>
        <w:t xml:space="preserve">. </w:t>
      </w:r>
      <w:r w:rsidR="006E4D3B">
        <w:t>Parmi plusieurs exemples, u</w:t>
      </w:r>
      <w:r>
        <w:t xml:space="preserve">n rapport </w:t>
      </w:r>
      <w:r w:rsidR="005C53F6">
        <w:t xml:space="preserve">en </w:t>
      </w:r>
      <w:r>
        <w:t>2013 a a</w:t>
      </w:r>
      <w:r w:rsidR="005C53F6">
        <w:t>in</w:t>
      </w:r>
      <w:r>
        <w:t xml:space="preserve">si préconisé </w:t>
      </w:r>
      <w:r w:rsidR="00B92203">
        <w:t>l’instauration d’un système de c</w:t>
      </w:r>
      <w:r>
        <w:t xml:space="preserve">otation transparent et objectif, dispositif qui a été transcrit dans la </w:t>
      </w:r>
      <w:hyperlink r:id="rId8" w:anchor="ALUR" w:history="1">
        <w:r w:rsidRPr="00D119FE">
          <w:rPr>
            <w:rStyle w:val="Lienhypertexte"/>
          </w:rPr>
          <w:t>loi ALUR</w:t>
        </w:r>
      </w:hyperlink>
      <w:r>
        <w:t xml:space="preserve"> de 2014. L’expérimentation à Rennes d’un tel dispositif ayant été </w:t>
      </w:r>
      <w:r w:rsidR="005C53F6">
        <w:t>jugée très positive,</w:t>
      </w:r>
      <w:r>
        <w:t xml:space="preserve"> la Ministre, Mme </w:t>
      </w:r>
      <w:r w:rsidR="006A18D3">
        <w:t>Pinel</w:t>
      </w:r>
      <w:r>
        <w:t>, a annoncé</w:t>
      </w:r>
      <w:r w:rsidR="006E4D3B">
        <w:t xml:space="preserve"> </w:t>
      </w:r>
      <w:r w:rsidR="005C53F6">
        <w:t>s</w:t>
      </w:r>
      <w:r>
        <w:t>a généralisation</w:t>
      </w:r>
      <w:r w:rsidR="004208BF">
        <w:t>, le 23 février 2016</w:t>
      </w:r>
      <w:r>
        <w:t>.</w:t>
      </w:r>
      <w:r w:rsidR="00600E5B">
        <w:t xml:space="preserve"> Le projet de loi Elan l’impose effectivement à certains territoires (cf</w:t>
      </w:r>
      <w:r w:rsidR="0031187B">
        <w:t>.</w:t>
      </w:r>
      <w:r w:rsidR="00600E5B">
        <w:t xml:space="preserve"> infra)</w:t>
      </w:r>
      <w:r w:rsidR="006F33B8">
        <w:t>.</w:t>
      </w:r>
    </w:p>
    <w:p w:rsidR="009016A4" w:rsidRDefault="0010436C" w:rsidP="00EC585C">
      <w:r>
        <w:t xml:space="preserve">Il reste, quels que soient les efforts </w:t>
      </w:r>
      <w:r w:rsidR="006E4D3B">
        <w:t xml:space="preserve">réalisés, </w:t>
      </w:r>
      <w:r>
        <w:t>qu’aucun système</w:t>
      </w:r>
      <w:r w:rsidR="00C10C6F">
        <w:rPr>
          <w:rStyle w:val="Appelnotedebasdep"/>
        </w:rPr>
        <w:footnoteReference w:id="14"/>
      </w:r>
      <w:r>
        <w:t xml:space="preserve"> ne met </w:t>
      </w:r>
      <w:r w:rsidR="006E4D3B">
        <w:t>à l’abri de dérives</w:t>
      </w:r>
      <w:r w:rsidR="00AB022C">
        <w:t xml:space="preserve"> ponctuelles</w:t>
      </w:r>
      <w:r>
        <w:t>.</w:t>
      </w:r>
    </w:p>
    <w:p w:rsidR="0010436C" w:rsidRDefault="00D119FE" w:rsidP="00EC585C">
      <w:r>
        <w:t>I</w:t>
      </w:r>
      <w:r w:rsidR="0010436C">
        <w:t xml:space="preserve">l convient d’ajouter que le non-respect strict des règles n’est pas nécessairement fautif. Il </w:t>
      </w:r>
      <w:r w:rsidR="00A42C5A">
        <w:t xml:space="preserve">peut </w:t>
      </w:r>
      <w:r w:rsidR="0010436C">
        <w:t>aussi</w:t>
      </w:r>
      <w:r w:rsidR="00A42C5A">
        <w:t xml:space="preserve"> procéder</w:t>
      </w:r>
      <w:r w:rsidR="0010436C">
        <w:t> :</w:t>
      </w:r>
    </w:p>
    <w:p w:rsidR="0010436C" w:rsidRPr="00600E5B" w:rsidRDefault="0010436C" w:rsidP="00EC585C">
      <w:pPr>
        <w:pStyle w:val="Paragraphedeliste"/>
        <w:numPr>
          <w:ilvl w:val="0"/>
          <w:numId w:val="18"/>
        </w:numPr>
      </w:pPr>
      <w:r>
        <w:t xml:space="preserve">de </w:t>
      </w:r>
      <w:r w:rsidR="006E4D3B">
        <w:t>la complexité des règles</w:t>
      </w:r>
      <w:r>
        <w:t xml:space="preserve"> (non-respect d</w:t>
      </w:r>
      <w:r w:rsidR="00600E5B">
        <w:t>es</w:t>
      </w:r>
      <w:r>
        <w:t xml:space="preserve"> quorum</w:t>
      </w:r>
      <w:r w:rsidR="00600E5B">
        <w:t>s dans les commissions</w:t>
      </w:r>
      <w:r>
        <w:t>, etc.) ;</w:t>
      </w:r>
    </w:p>
    <w:p w:rsidR="00600E5B" w:rsidRDefault="0010436C" w:rsidP="00EC585C">
      <w:pPr>
        <w:pStyle w:val="Paragraphedeliste"/>
        <w:numPr>
          <w:ilvl w:val="0"/>
          <w:numId w:val="18"/>
        </w:numPr>
      </w:pPr>
      <w:r w:rsidRPr="00600E5B">
        <w:t>d</w:t>
      </w:r>
      <w:r w:rsidR="006E4D3B" w:rsidRPr="00600E5B">
        <w:t>’</w:t>
      </w:r>
      <w:r w:rsidR="00CC5406">
        <w:t xml:space="preserve"> </w:t>
      </w:r>
      <w:r w:rsidRPr="00600E5B">
        <w:t>objectifs de mixité de peuplement afin d’assurer l’équilibre des populations</w:t>
      </w:r>
      <w:r w:rsidR="006F33B8">
        <w:t>.</w:t>
      </w:r>
    </w:p>
    <w:p w:rsidR="00523E97" w:rsidRPr="00FB0A8D" w:rsidRDefault="00523E97" w:rsidP="00B81DED">
      <w:pPr>
        <w:pStyle w:val="Titre1"/>
      </w:pPr>
      <w:bookmarkStart w:id="2" w:name="_Toc509327204"/>
      <w:r>
        <w:t>Clientélisme</w:t>
      </w:r>
      <w:bookmarkEnd w:id="2"/>
    </w:p>
    <w:p w:rsidR="0010436C" w:rsidRDefault="00A42C5A" w:rsidP="00EC585C">
      <w:r>
        <w:t xml:space="preserve">Si toute règle génère des entorses, la question posée est celle de la fréquence de ces dernières. </w:t>
      </w:r>
      <w:r w:rsidR="006E4D3B">
        <w:t>P</w:t>
      </w:r>
      <w:r w:rsidR="0016532A">
        <w:t xml:space="preserve">ersonne ne </w:t>
      </w:r>
      <w:r w:rsidR="0031187B">
        <w:t>dénonce</w:t>
      </w:r>
      <w:r w:rsidR="006E4D3B">
        <w:t xml:space="preserve"> un</w:t>
      </w:r>
      <w:r w:rsidR="0016532A">
        <w:t xml:space="preserve"> clientélisme </w:t>
      </w:r>
      <w:r w:rsidR="00AB022C">
        <w:t xml:space="preserve">ou un favoritisme </w:t>
      </w:r>
      <w:r w:rsidR="0016532A">
        <w:t>généralisé.</w:t>
      </w:r>
      <w:r w:rsidR="00AB022C">
        <w:t xml:space="preserve"> </w:t>
      </w:r>
      <w:r w:rsidR="0010144C">
        <w:t xml:space="preserve">Toutefois, </w:t>
      </w:r>
      <w:r w:rsidR="00AB022C">
        <w:t>t</w:t>
      </w:r>
      <w:r w:rsidR="00E97051">
        <w:t>rop</w:t>
      </w:r>
      <w:r w:rsidR="0010144C">
        <w:t xml:space="preserve"> d’</w:t>
      </w:r>
      <w:r w:rsidR="00E97051">
        <w:t>élus locaux pratiquent le clientélisme, terme qui désigne des relations intéressées entre l’élu et un ou des citoyen</w:t>
      </w:r>
      <w:r w:rsidR="00873961">
        <w:t>(</w:t>
      </w:r>
      <w:r w:rsidR="00E97051">
        <w:t>s</w:t>
      </w:r>
      <w:r w:rsidR="00873961">
        <w:t>)</w:t>
      </w:r>
      <w:r w:rsidR="00E97051">
        <w:t xml:space="preserve">. Pour la matière qui nous occupe, il s’entend comme l’attribution d’un logement </w:t>
      </w:r>
      <w:r w:rsidR="0010144C">
        <w:t>dans l’espoir de s’assurer du vote du bénéficiaire</w:t>
      </w:r>
      <w:r w:rsidR="00BB443C">
        <w:rPr>
          <w:rStyle w:val="Appelnotedebasdep"/>
        </w:rPr>
        <w:footnoteReference w:id="15"/>
      </w:r>
      <w:r w:rsidR="0010144C">
        <w:t xml:space="preserve">, ce qui implique que les demandes </w:t>
      </w:r>
      <w:r w:rsidR="00E97051">
        <w:t>d’autres personnes</w:t>
      </w:r>
      <w:r w:rsidR="0010144C">
        <w:t>,</w:t>
      </w:r>
      <w:r w:rsidR="00E97051">
        <w:t xml:space="preserve"> prioritaires</w:t>
      </w:r>
      <w:r w:rsidR="0010144C">
        <w:t xml:space="preserve"> selon les règles,</w:t>
      </w:r>
      <w:r w:rsidR="00E97051">
        <w:t xml:space="preserve"> se trouvent rejetées.</w:t>
      </w:r>
    </w:p>
    <w:p w:rsidR="00DE1E13" w:rsidRDefault="00E97051" w:rsidP="00EC585C">
      <w:r>
        <w:t xml:space="preserve">De </w:t>
      </w:r>
      <w:r w:rsidR="00DE1E13">
        <w:t>telle</w:t>
      </w:r>
      <w:r>
        <w:t>s</w:t>
      </w:r>
      <w:r w:rsidR="00DE1E13">
        <w:t xml:space="preserve"> </w:t>
      </w:r>
      <w:r>
        <w:t xml:space="preserve">dérives </w:t>
      </w:r>
      <w:r w:rsidR="0010144C">
        <w:t xml:space="preserve">ne sont possibles que du fait </w:t>
      </w:r>
      <w:r w:rsidR="00DE1E13">
        <w:t>de la conjonction</w:t>
      </w:r>
      <w:r>
        <w:t xml:space="preserve"> des facteurs suivants</w:t>
      </w:r>
      <w:r w:rsidR="00DE1E13">
        <w:t> :</w:t>
      </w:r>
    </w:p>
    <w:p w:rsidR="00DE1E13" w:rsidRDefault="0010144C" w:rsidP="00EC585C">
      <w:pPr>
        <w:pStyle w:val="Paragraphedeliste"/>
        <w:numPr>
          <w:ilvl w:val="0"/>
          <w:numId w:val="18"/>
        </w:numPr>
      </w:pPr>
      <w:r>
        <w:t>des règles</w:t>
      </w:r>
      <w:r w:rsidR="00DE1E13">
        <w:t xml:space="preserve"> </w:t>
      </w:r>
      <w:r>
        <w:t xml:space="preserve">d’attribution </w:t>
      </w:r>
      <w:r w:rsidR="00DE1E13">
        <w:t>extrêmement complexe</w:t>
      </w:r>
      <w:r>
        <w:t>s</w:t>
      </w:r>
      <w:r w:rsidR="00DE1E13">
        <w:t>, peu lisible</w:t>
      </w:r>
      <w:r>
        <w:t>s</w:t>
      </w:r>
      <w:r w:rsidR="00DE1E13">
        <w:t xml:space="preserve"> pour les demandeurs ;</w:t>
      </w:r>
    </w:p>
    <w:p w:rsidR="00DE1E13" w:rsidRDefault="0010144C" w:rsidP="00EC585C">
      <w:pPr>
        <w:pStyle w:val="Paragraphedeliste"/>
        <w:numPr>
          <w:ilvl w:val="0"/>
          <w:numId w:val="18"/>
        </w:numPr>
      </w:pPr>
      <w:r>
        <w:t>l’</w:t>
      </w:r>
      <w:r w:rsidR="00DE1E13">
        <w:t>opacité du processus en raison de la multiplicité d’acteurs qu’il engage ;</w:t>
      </w:r>
    </w:p>
    <w:p w:rsidR="00DE1E13" w:rsidRDefault="00DE1E13" w:rsidP="00EC585C">
      <w:pPr>
        <w:pStyle w:val="Paragraphedeliste"/>
        <w:numPr>
          <w:ilvl w:val="0"/>
          <w:numId w:val="18"/>
        </w:numPr>
      </w:pPr>
      <w:r>
        <w:lastRenderedPageBreak/>
        <w:t>l’existence de marges de manœuvre assez importantes des organismes bailleurs, mais aussi des réservataires</w:t>
      </w:r>
      <w:r w:rsidR="003942C0">
        <w:rPr>
          <w:rStyle w:val="Appelnotedebasdep"/>
        </w:rPr>
        <w:footnoteReference w:id="16"/>
      </w:r>
      <w:r>
        <w:t>. Chacun interprète à sa façon les textes et les adapte aux contingences locales. Les zones d’ombre s’exercent en particulier dans la phase de pré</w:t>
      </w:r>
      <w:r w:rsidR="005C53F6">
        <w:t>sé</w:t>
      </w:r>
      <w:r>
        <w:t xml:space="preserve">lection des dossiers par les services de la mairie et/ou de l’organisme. Faute </w:t>
      </w:r>
      <w:r w:rsidR="00D17139">
        <w:t xml:space="preserve">de </w:t>
      </w:r>
      <w:r w:rsidR="0010144C">
        <w:t>s’exercer sur</w:t>
      </w:r>
      <w:r>
        <w:t xml:space="preserve"> la totalité des dossiers, l’action de la Commission </w:t>
      </w:r>
      <w:r w:rsidR="00410D33">
        <w:t xml:space="preserve">d’attribution </w:t>
      </w:r>
      <w:r>
        <w:t xml:space="preserve">se trouve </w:t>
      </w:r>
      <w:r w:rsidR="00410D33">
        <w:t xml:space="preserve">le plus souvent </w:t>
      </w:r>
      <w:r>
        <w:t>biaisée</w:t>
      </w:r>
      <w:r w:rsidR="007D39B5">
        <w:rPr>
          <w:rStyle w:val="Appelnotedebasdep"/>
        </w:rPr>
        <w:footnoteReference w:id="17"/>
      </w:r>
      <w:r w:rsidR="00DA5462">
        <w:t xml:space="preserve">. Le rapport public de la </w:t>
      </w:r>
      <w:r w:rsidR="009A0E8F">
        <w:t>Mission interministérielle d’inspection du logement social (</w:t>
      </w:r>
      <w:r w:rsidR="00DA5462">
        <w:t>MI</w:t>
      </w:r>
      <w:r w:rsidR="009A0E8F">
        <w:t>I</w:t>
      </w:r>
      <w:r w:rsidR="00DA5462">
        <w:t>LOS</w:t>
      </w:r>
      <w:r w:rsidR="009A0E8F">
        <w:t>)</w:t>
      </w:r>
      <w:r w:rsidR="00DA5462">
        <w:t xml:space="preserve"> pour 2013</w:t>
      </w:r>
      <w:r w:rsidR="00DA5462">
        <w:rPr>
          <w:rStyle w:val="Appelnotedebasdep"/>
        </w:rPr>
        <w:footnoteReference w:id="18"/>
      </w:r>
      <w:r w:rsidR="00D668B6">
        <w:t xml:space="preserve"> explique que la gestion des dossiers </w:t>
      </w:r>
      <w:r w:rsidR="00632CFC">
        <w:t xml:space="preserve">par les services internes des organismes </w:t>
      </w:r>
      <w:r w:rsidR="00D668B6">
        <w:t xml:space="preserve">se fait souvent de manière empirique, sans utilisation de données permettant d’étudier l’ensemble des demandes pour un logement. Le choix des </w:t>
      </w:r>
      <w:r w:rsidR="00632CFC">
        <w:t xml:space="preserve">dossiers </w:t>
      </w:r>
      <w:r w:rsidR="00D668B6">
        <w:t xml:space="preserve">proposés à la Commission correspond alors le plus souvent aux demandes les plus récentes, sans barème de cotation faute d’avoir un système d’information adapté. Cette opacité de la sélection et du fonctionnement </w:t>
      </w:r>
      <w:r w:rsidR="00D34191">
        <w:t>de la Commission</w:t>
      </w:r>
      <w:r w:rsidR="00D668B6">
        <w:t xml:space="preserve"> d’attribution laisse la porte ouverte aux arrangements et donc </w:t>
      </w:r>
      <w:r w:rsidR="00E97051">
        <w:t xml:space="preserve">à diverses dérives, dont le </w:t>
      </w:r>
      <w:r w:rsidR="00D668B6">
        <w:t>clientélisme.</w:t>
      </w:r>
    </w:p>
    <w:p w:rsidR="005E5DBC" w:rsidRDefault="00B5553B" w:rsidP="00EC585C">
      <w:r>
        <w:t>Il ne faudrait pas croire</w:t>
      </w:r>
      <w:r w:rsidR="00416653">
        <w:t xml:space="preserve"> qu’il s’agit là</w:t>
      </w:r>
      <w:r w:rsidR="00D6786C">
        <w:t xml:space="preserve"> </w:t>
      </w:r>
      <w:r>
        <w:t xml:space="preserve">de cas isolés et peu représentatifs. En 2007, sur les 184 rapports définitifs établis par la </w:t>
      </w:r>
      <w:r w:rsidR="00416653">
        <w:t>MIILOS</w:t>
      </w:r>
      <w:r>
        <w:t>, 4</w:t>
      </w:r>
      <w:r w:rsidR="00410D33">
        <w:t>9</w:t>
      </w:r>
      <w:r>
        <w:t xml:space="preserve"> organismes HLM ont été pris en flagrant délit d’infraction </w:t>
      </w:r>
      <w:r w:rsidR="00416653">
        <w:t>aux</w:t>
      </w:r>
      <w:r>
        <w:t xml:space="preserve"> procédures d’attribution ! Ce chiffre met en </w:t>
      </w:r>
      <w:r w:rsidR="00416653">
        <w:t xml:space="preserve">lumière </w:t>
      </w:r>
      <w:r>
        <w:t xml:space="preserve">un problème majeur, qui explique d’ailleurs la loi du 5 mars 2007 instituant le </w:t>
      </w:r>
      <w:hyperlink r:id="rId9" w:anchor="DALO" w:history="1">
        <w:r w:rsidRPr="00416653">
          <w:rPr>
            <w:rStyle w:val="Lienhypertexte"/>
          </w:rPr>
          <w:t>Dalo</w:t>
        </w:r>
      </w:hyperlink>
      <w:r>
        <w:t xml:space="preserve">, qui </w:t>
      </w:r>
      <w:r w:rsidR="00410D33">
        <w:t xml:space="preserve">vise à </w:t>
      </w:r>
      <w:r>
        <w:t>permet</w:t>
      </w:r>
      <w:r w:rsidR="00410D33">
        <w:t>tre</w:t>
      </w:r>
      <w:r>
        <w:t xml:space="preserve"> à toute personne ou à tout ménage résidant de manière stable et régulière en </w:t>
      </w:r>
      <w:r w:rsidR="00B358B5">
        <w:t>France</w:t>
      </w:r>
      <w:r>
        <w:t xml:space="preserve"> et éprouvant des difficultés</w:t>
      </w:r>
      <w:r w:rsidR="00416653">
        <w:t xml:space="preserve"> à se loger</w:t>
      </w:r>
      <w:r>
        <w:t xml:space="preserve"> d’accéder à un logement décent ou </w:t>
      </w:r>
      <w:r w:rsidR="00416653">
        <w:t xml:space="preserve">de </w:t>
      </w:r>
      <w:r>
        <w:t>s’y maintenir</w:t>
      </w:r>
      <w:r w:rsidR="00D6786C">
        <w:t xml:space="preserve"> (cf. annexe 4)</w:t>
      </w:r>
      <w:r>
        <w:t xml:space="preserve">. L’institution de ce droit opposable </w:t>
      </w:r>
      <w:r w:rsidR="006F33B8">
        <w:t>traduit le choix</w:t>
      </w:r>
      <w:r w:rsidR="00CC5406">
        <w:t xml:space="preserve"> de privilégier l’accueil des plus pauvres sur le principe de mixité et constitue une critique </w:t>
      </w:r>
      <w:r w:rsidR="006F33B8">
        <w:t xml:space="preserve">implicite </w:t>
      </w:r>
      <w:r>
        <w:t>des procédures d’attribution d</w:t>
      </w:r>
      <w:r w:rsidR="00416653">
        <w:t>es</w:t>
      </w:r>
      <w:r>
        <w:t xml:space="preserve"> logement</w:t>
      </w:r>
      <w:r w:rsidR="00416653">
        <w:t>s</w:t>
      </w:r>
      <w:r>
        <w:t xml:space="preserve"> socia</w:t>
      </w:r>
      <w:r w:rsidR="00416653">
        <w:t>ux,</w:t>
      </w:r>
      <w:r>
        <w:t xml:space="preserve"> auquel </w:t>
      </w:r>
      <w:r w:rsidR="00C9219F">
        <w:t>il</w:t>
      </w:r>
      <w:r>
        <w:t xml:space="preserve"> tente de </w:t>
      </w:r>
      <w:r w:rsidR="00416653">
        <w:t xml:space="preserve">remédier </w:t>
      </w:r>
      <w:r>
        <w:t>en créant un nouveau circuit d’attribution.</w:t>
      </w:r>
    </w:p>
    <w:p w:rsidR="00117314" w:rsidRDefault="00117314" w:rsidP="00EC585C">
      <w:r>
        <w:t xml:space="preserve">Il </w:t>
      </w:r>
      <w:r w:rsidR="00D6786C">
        <w:t>en découle</w:t>
      </w:r>
      <w:r>
        <w:t xml:space="preserve"> la nécessité de remettre en cause la procédure </w:t>
      </w:r>
      <w:r w:rsidR="00F00216">
        <w:t xml:space="preserve">existante </w:t>
      </w:r>
      <w:r>
        <w:t xml:space="preserve">et </w:t>
      </w:r>
      <w:r w:rsidR="00591B8B">
        <w:t>de mettre fin à certaines pratiques comme :</w:t>
      </w:r>
    </w:p>
    <w:p w:rsidR="00117314" w:rsidRDefault="00117314" w:rsidP="00EC585C">
      <w:pPr>
        <w:pStyle w:val="Paragraphedeliste"/>
        <w:numPr>
          <w:ilvl w:val="0"/>
          <w:numId w:val="18"/>
        </w:numPr>
      </w:pPr>
      <w:r>
        <w:t xml:space="preserve">la présentation peu claire </w:t>
      </w:r>
      <w:r w:rsidR="00455AED">
        <w:t>ou incomplète de certains dossiers ;</w:t>
      </w:r>
    </w:p>
    <w:p w:rsidR="00455AED" w:rsidRDefault="00455AED" w:rsidP="00EC585C">
      <w:pPr>
        <w:pStyle w:val="Paragraphedeliste"/>
        <w:numPr>
          <w:ilvl w:val="0"/>
          <w:numId w:val="18"/>
        </w:numPr>
      </w:pPr>
      <w:r>
        <w:t>l’influence du maire ou de ses représentants au sein des commissions ;</w:t>
      </w:r>
    </w:p>
    <w:p w:rsidR="00455AED" w:rsidRDefault="00455AED" w:rsidP="00EC585C">
      <w:pPr>
        <w:pStyle w:val="Paragraphedeliste"/>
        <w:numPr>
          <w:ilvl w:val="0"/>
          <w:numId w:val="18"/>
        </w:numPr>
      </w:pPr>
      <w:r>
        <w:t>la non-présentation</w:t>
      </w:r>
      <w:r w:rsidR="00D33509">
        <w:t xml:space="preserve">, pourtant prohibée, </w:t>
      </w:r>
      <w:r w:rsidR="00DA0BF3">
        <w:t>de certains dossiers</w:t>
      </w:r>
      <w:r>
        <w:t xml:space="preserve"> en commission pour divers motifs (manque de temps, urgence, etc.) ;</w:t>
      </w:r>
    </w:p>
    <w:p w:rsidR="00455AED" w:rsidRDefault="006C1456" w:rsidP="00EC585C">
      <w:pPr>
        <w:pStyle w:val="Paragraphedeliste"/>
        <w:numPr>
          <w:ilvl w:val="0"/>
          <w:numId w:val="18"/>
        </w:numPr>
      </w:pPr>
      <w:r>
        <w:t xml:space="preserve">le souci de respecter la mixité sociale qui conduit à </w:t>
      </w:r>
      <w:r w:rsidR="00DA0BF3">
        <w:t>en</w:t>
      </w:r>
      <w:r>
        <w:t xml:space="preserve"> privilégier certains et en exclure d’autres, principalement </w:t>
      </w:r>
      <w:r w:rsidR="00BF094C">
        <w:t>d</w:t>
      </w:r>
      <w:r>
        <w:t>es étrangers</w:t>
      </w:r>
      <w:r>
        <w:rPr>
          <w:rStyle w:val="Appelnotedebasdep"/>
        </w:rPr>
        <w:footnoteReference w:id="19"/>
      </w:r>
      <w:r w:rsidR="00B91E7B">
        <w:t xml:space="preserve">. Cette politique informelle </w:t>
      </w:r>
      <w:r w:rsidR="00D33509">
        <w:t xml:space="preserve">et </w:t>
      </w:r>
      <w:r w:rsidR="00B91E7B">
        <w:t xml:space="preserve">discriminatoire profite aux </w:t>
      </w:r>
      <w:r w:rsidR="00776A51">
        <w:t>ménages aux revenus plus élevés ;</w:t>
      </w:r>
    </w:p>
    <w:p w:rsidR="00776A51" w:rsidRDefault="00776A51" w:rsidP="00EC585C">
      <w:pPr>
        <w:pStyle w:val="Paragraphedeliste"/>
        <w:numPr>
          <w:ilvl w:val="0"/>
          <w:numId w:val="18"/>
        </w:numPr>
      </w:pPr>
      <w:r>
        <w:t xml:space="preserve">l’usage des recommandations, </w:t>
      </w:r>
      <w:r w:rsidR="00632CFC">
        <w:t xml:space="preserve">par les élus locaux, notamment, </w:t>
      </w:r>
      <w:r>
        <w:t>y compris pour ces personnes à bas revenus mais dont le dossier fera l’objet d’une attention particulière.</w:t>
      </w:r>
    </w:p>
    <w:p w:rsidR="00776A51" w:rsidRPr="00A85404" w:rsidRDefault="00632CFC" w:rsidP="00B81DED">
      <w:pPr>
        <w:pStyle w:val="Titre1"/>
        <w:ind w:left="0" w:firstLine="0"/>
      </w:pPr>
      <w:bookmarkStart w:id="3" w:name="_Toc509327205"/>
      <w:r>
        <w:t xml:space="preserve">Une </w:t>
      </w:r>
      <w:r w:rsidRPr="00B81DED">
        <w:t>longue</w:t>
      </w:r>
      <w:r>
        <w:t xml:space="preserve"> maturation</w:t>
      </w:r>
      <w:bookmarkEnd w:id="3"/>
    </w:p>
    <w:p w:rsidR="002C20E8" w:rsidRDefault="00175399" w:rsidP="00EC585C">
      <w:r>
        <w:t>La proc</w:t>
      </w:r>
      <w:r w:rsidR="00804A06">
        <w:t>édure</w:t>
      </w:r>
      <w:r w:rsidR="00427DCE">
        <w:t xml:space="preserve"> d’attribution </w:t>
      </w:r>
      <w:r w:rsidR="00591B8B">
        <w:t xml:space="preserve">de logements sociaux </w:t>
      </w:r>
      <w:r w:rsidR="00632CFC">
        <w:t>souffre</w:t>
      </w:r>
      <w:r w:rsidR="00427DCE">
        <w:t xml:space="preserve"> de multiples limites. On ne peut comprendre le système actuel </w:t>
      </w:r>
      <w:r w:rsidR="00804A06">
        <w:t>sans se pencher sur</w:t>
      </w:r>
      <w:r w:rsidR="00427DCE">
        <w:t xml:space="preserve"> son histoire</w:t>
      </w:r>
      <w:r w:rsidR="00600D2D">
        <w:t xml:space="preserve"> et sur l’</w:t>
      </w:r>
      <w:r w:rsidR="00427DCE">
        <w:t>intense production législative</w:t>
      </w:r>
      <w:r w:rsidR="00600D2D">
        <w:t xml:space="preserve"> qui la caractérise</w:t>
      </w:r>
      <w:r w:rsidR="00427DCE">
        <w:t xml:space="preserve">. </w:t>
      </w:r>
      <w:r w:rsidR="00804A06">
        <w:t>Ce n’est donc</w:t>
      </w:r>
      <w:r w:rsidR="00427DCE">
        <w:t xml:space="preserve"> </w:t>
      </w:r>
      <w:r w:rsidR="00804A06">
        <w:t>qu’</w:t>
      </w:r>
      <w:r w:rsidR="00427DCE">
        <w:t xml:space="preserve">après avoir décrit le </w:t>
      </w:r>
      <w:r w:rsidR="00E96504">
        <w:t>dispositif en vigu</w:t>
      </w:r>
      <w:r w:rsidR="008C57AF">
        <w:t>eur</w:t>
      </w:r>
      <w:r w:rsidR="00427DCE">
        <w:t xml:space="preserve"> </w:t>
      </w:r>
      <w:r w:rsidR="00804A06">
        <w:t>et</w:t>
      </w:r>
      <w:r w:rsidR="00427DCE">
        <w:t xml:space="preserve"> rappelé les nombreuses réformes </w:t>
      </w:r>
      <w:r w:rsidR="00804A06">
        <w:t>visant à</w:t>
      </w:r>
      <w:r w:rsidR="00981C25">
        <w:t xml:space="preserve"> rendre le système plus juste</w:t>
      </w:r>
      <w:r w:rsidR="00804A06">
        <w:t xml:space="preserve"> que </w:t>
      </w:r>
      <w:r w:rsidR="00427DCE">
        <w:t>nous pou</w:t>
      </w:r>
      <w:r w:rsidR="00D34191">
        <w:t>rr</w:t>
      </w:r>
      <w:r w:rsidR="00427DCE">
        <w:t xml:space="preserve">ons </w:t>
      </w:r>
      <w:r w:rsidR="00981C25">
        <w:t xml:space="preserve">tenter de porter un jugement global </w:t>
      </w:r>
      <w:r w:rsidR="00981C25">
        <w:lastRenderedPageBreak/>
        <w:t>et équilibré sur les pratiques actuelles</w:t>
      </w:r>
      <w:r w:rsidR="00591B8B">
        <w:t xml:space="preserve"> pour, </w:t>
      </w:r>
      <w:r w:rsidR="00B87B07">
        <w:t>finalement</w:t>
      </w:r>
      <w:r w:rsidR="00591B8B">
        <w:t>, souligner le lien entre les attributions et les politiques de la ville</w:t>
      </w:r>
      <w:r w:rsidR="00981C25">
        <w:t>.</w:t>
      </w:r>
    </w:p>
    <w:p w:rsidR="00EF2A07" w:rsidRPr="00A85404" w:rsidRDefault="00EF2A07" w:rsidP="00651AC5">
      <w:pPr>
        <w:pStyle w:val="Titre3"/>
      </w:pPr>
      <w:bookmarkStart w:id="4" w:name="_Toc509327115"/>
      <w:bookmarkStart w:id="5" w:name="_Toc509327206"/>
      <w:r w:rsidRPr="00A85404">
        <w:t>L’accès au logement social : conditions d’attribution</w:t>
      </w:r>
      <w:r w:rsidRPr="00A85404">
        <w:rPr>
          <w:rStyle w:val="Appelnotedebasdep"/>
          <w:rFonts w:cs="Arial"/>
        </w:rPr>
        <w:footnoteReference w:id="20"/>
      </w:r>
      <w:bookmarkEnd w:id="4"/>
      <w:bookmarkEnd w:id="5"/>
    </w:p>
    <w:p w:rsidR="00090BB7" w:rsidRDefault="00804A06" w:rsidP="00EC585C">
      <w:r>
        <w:t xml:space="preserve">La principale condition d’éligibilité à un logement social porte sur les ressources du demandeur. </w:t>
      </w:r>
      <w:r w:rsidR="006E0DEB">
        <w:t>Sont seuls éligibles les ménages dont les</w:t>
      </w:r>
      <w:r>
        <w:t xml:space="preserve"> ressources</w:t>
      </w:r>
      <w:r w:rsidR="006E0DEB">
        <w:t xml:space="preserve"> ne dépassent pas un plafond</w:t>
      </w:r>
      <w:r w:rsidR="004B3F6F">
        <w:t xml:space="preserve"> </w:t>
      </w:r>
      <w:r w:rsidR="006E0DEB">
        <w:t>qui est</w:t>
      </w:r>
      <w:r>
        <w:t xml:space="preserve"> fonction du</w:t>
      </w:r>
      <w:r w:rsidR="00EF2A07">
        <w:t xml:space="preserve"> type de financement de l’immeuble, </w:t>
      </w:r>
      <w:r>
        <w:t xml:space="preserve">de sa localisation et de </w:t>
      </w:r>
      <w:r w:rsidR="00EF2A07">
        <w:t xml:space="preserve">la composition du foyer. Les </w:t>
      </w:r>
      <w:r w:rsidR="006546FB">
        <w:t>ressources</w:t>
      </w:r>
      <w:r w:rsidR="00EF2A07">
        <w:t xml:space="preserve"> prises </w:t>
      </w:r>
      <w:r w:rsidR="00A21C58">
        <w:t xml:space="preserve">en compte sont les revenus fiscaux de référence de l’année N </w:t>
      </w:r>
      <w:r w:rsidR="00D76B03">
        <w:t>-</w:t>
      </w:r>
      <w:r w:rsidR="00A21C58">
        <w:t xml:space="preserve"> 2 qui figurent sur l’avis d’imposition.</w:t>
      </w:r>
      <w:r w:rsidR="00090BB7">
        <w:t xml:space="preserve"> </w:t>
      </w:r>
    </w:p>
    <w:p w:rsidR="00A21C58" w:rsidRDefault="00A21C58" w:rsidP="00EC585C">
      <w:r>
        <w:t>Les demandeurs doivent être Français ou étrangers en situation régulière. Une priorité est reconnue à certaines catégories (</w:t>
      </w:r>
      <w:r w:rsidR="00600D2D">
        <w:t xml:space="preserve">prioritaires au sens du </w:t>
      </w:r>
      <w:r w:rsidR="00DE7F73">
        <w:t xml:space="preserve">DALO, </w:t>
      </w:r>
      <w:r>
        <w:t>handicap</w:t>
      </w:r>
      <w:r w:rsidR="0073468E">
        <w:t>és</w:t>
      </w:r>
      <w:r>
        <w:t xml:space="preserve">, </w:t>
      </w:r>
      <w:r w:rsidR="00600D2D">
        <w:t xml:space="preserve">personnes </w:t>
      </w:r>
      <w:r w:rsidR="004405AB">
        <w:t>victime</w:t>
      </w:r>
      <w:r w:rsidR="0073468E">
        <w:t>s</w:t>
      </w:r>
      <w:r w:rsidR="004405AB">
        <w:t xml:space="preserve"> de </w:t>
      </w:r>
      <w:r>
        <w:t xml:space="preserve">violence au sein du couple, </w:t>
      </w:r>
      <w:r w:rsidR="00090BB7">
        <w:t xml:space="preserve">hébergées, </w:t>
      </w:r>
      <w:r w:rsidR="00CC5406">
        <w:t>en habitat indigne, menac</w:t>
      </w:r>
      <w:r w:rsidR="00600D2D">
        <w:t>é</w:t>
      </w:r>
      <w:r w:rsidR="00CC5406">
        <w:t>es de mariage forcé, sortie</w:t>
      </w:r>
      <w:r w:rsidR="00600D2D">
        <w:t>s</w:t>
      </w:r>
      <w:r w:rsidR="00CC5406">
        <w:t xml:space="preserve"> de la prostitution</w:t>
      </w:r>
      <w:r w:rsidR="00DE7F73">
        <w:t>, ayant au moins un enfant mineur en situation de sur-occupation, sans logement, menacé</w:t>
      </w:r>
      <w:r w:rsidR="00600D2D">
        <w:t>e</w:t>
      </w:r>
      <w:r w:rsidR="00DE7F73">
        <w:t>s d’expulsion</w:t>
      </w:r>
      <w:r>
        <w:t>.).</w:t>
      </w:r>
      <w:r w:rsidR="006E0DEB">
        <w:t xml:space="preserve"> </w:t>
      </w:r>
      <w:r w:rsidR="00C15CC9">
        <w:t>La loi </w:t>
      </w:r>
      <w:r w:rsidR="004B3F6F">
        <w:t>É</w:t>
      </w:r>
      <w:r w:rsidR="00C15CC9">
        <w:t>galité</w:t>
      </w:r>
      <w:r w:rsidR="006E0DEB">
        <w:t xml:space="preserve"> </w:t>
      </w:r>
      <w:r w:rsidR="00C15CC9">
        <w:t>&amp;</w:t>
      </w:r>
      <w:r w:rsidR="006E0DEB">
        <w:t xml:space="preserve"> </w:t>
      </w:r>
      <w:r w:rsidR="00C15CC9">
        <w:t xml:space="preserve">Citoyenneté de 2017 (article 70) a d’ailleurs unifié les critères de priorité. Désormais, il n’existe plus qu’une seule liste de publics prioritaires, qui ne peut </w:t>
      </w:r>
      <w:r w:rsidR="006E0DEB">
        <w:t xml:space="preserve">pas </w:t>
      </w:r>
      <w:r w:rsidR="00C15CC9">
        <w:t xml:space="preserve">être complétée au niveau local. Les demandeurs </w:t>
      </w:r>
      <w:r>
        <w:t xml:space="preserve">doivent déposer un dossier unique pour toutes les communes d’un même département (ou </w:t>
      </w:r>
      <w:r w:rsidR="00871518">
        <w:t>pour</w:t>
      </w:r>
      <w:r>
        <w:t xml:space="preserve"> la région</w:t>
      </w:r>
      <w:r w:rsidR="00600D2D" w:rsidRPr="00600D2D">
        <w:t xml:space="preserve"> </w:t>
      </w:r>
      <w:r w:rsidR="00600D2D">
        <w:t>en Île-de-France</w:t>
      </w:r>
      <w:r>
        <w:t xml:space="preserve">). </w:t>
      </w:r>
      <w:r w:rsidR="006E0DEB">
        <w:t>La demande est gratuite</w:t>
      </w:r>
      <w:r>
        <w:t>.</w:t>
      </w:r>
    </w:p>
    <w:p w:rsidR="00090BB7" w:rsidRDefault="004D27F1" w:rsidP="00EC585C">
      <w:r>
        <w:t xml:space="preserve">Depuis </w:t>
      </w:r>
      <w:r w:rsidR="00600D2D">
        <w:t xml:space="preserve">cette </w:t>
      </w:r>
      <w:r w:rsidR="006E0DEB">
        <w:t>l</w:t>
      </w:r>
      <w:r w:rsidR="00C15CC9">
        <w:t>oi </w:t>
      </w:r>
      <w:r>
        <w:t xml:space="preserve">, les demandes sont enregistrées sous forme d’un numéro unique </w:t>
      </w:r>
      <w:r w:rsidR="00C15CC9">
        <w:t>national</w:t>
      </w:r>
      <w:r>
        <w:t xml:space="preserve">, ce qui permet un </w:t>
      </w:r>
      <w:r w:rsidR="004405AB">
        <w:t>suivi d</w:t>
      </w:r>
      <w:r>
        <w:t>es délais</w:t>
      </w:r>
      <w:r w:rsidR="004405AB">
        <w:t xml:space="preserve"> d’attribution</w:t>
      </w:r>
      <w:r w:rsidR="00DE7F73">
        <w:t xml:space="preserve"> et évite au demandeur d’avoir à multiplier les </w:t>
      </w:r>
      <w:r w:rsidR="00871518">
        <w:t>dépôts</w:t>
      </w:r>
      <w:r w:rsidR="00DE7F73">
        <w:t xml:space="preserve"> de dossiers</w:t>
      </w:r>
      <w:r>
        <w:t>.</w:t>
      </w:r>
    </w:p>
    <w:p w:rsidR="00A21C58" w:rsidRDefault="00A21C58" w:rsidP="00EC585C">
      <w:r>
        <w:t xml:space="preserve">Le dossier peut être déposé auprès d’un bailleur social, en mairie ou auprès </w:t>
      </w:r>
      <w:r w:rsidR="004405AB">
        <w:t xml:space="preserve">d’Action Logement </w:t>
      </w:r>
      <w:r>
        <w:t>pour les salariés d’entreprises cotisantes. Le dép</w:t>
      </w:r>
      <w:r w:rsidR="00401C30">
        <w:t>ô</w:t>
      </w:r>
      <w:r>
        <w:t xml:space="preserve">t fait l’objet d’un enregistrement avec numéro </w:t>
      </w:r>
      <w:r w:rsidR="00D03837">
        <w:t xml:space="preserve">unique </w:t>
      </w:r>
      <w:r>
        <w:t xml:space="preserve">et attestation d’enregistrement dans un délai d’un mois. </w:t>
      </w:r>
      <w:r w:rsidR="004405AB">
        <w:t>C</w:t>
      </w:r>
      <w:r>
        <w:t xml:space="preserve">ette </w:t>
      </w:r>
      <w:r w:rsidR="00D15360">
        <w:t>attestation marque le décompte à partir duquel le demandeur peut saisir</w:t>
      </w:r>
      <w:r w:rsidR="00401C30">
        <w:t>,</w:t>
      </w:r>
      <w:r w:rsidR="00D15360">
        <w:t xml:space="preserve"> dans certaines conditions</w:t>
      </w:r>
      <w:r w:rsidR="00401C30">
        <w:t>,</w:t>
      </w:r>
      <w:r w:rsidR="00D15360">
        <w:t xml:space="preserve"> une commission de médiation en cas d’absence de proposition</w:t>
      </w:r>
      <w:r w:rsidR="00D15360">
        <w:rPr>
          <w:rStyle w:val="Appelnotedebasdep"/>
        </w:rPr>
        <w:footnoteReference w:id="21"/>
      </w:r>
      <w:r w:rsidR="00D15360">
        <w:t xml:space="preserve"> (cf. </w:t>
      </w:r>
      <w:r w:rsidR="00D15360" w:rsidRPr="00DA0BF3">
        <w:rPr>
          <w:i/>
        </w:rPr>
        <w:t>infra</w:t>
      </w:r>
      <w:r w:rsidR="00D15360">
        <w:t xml:space="preserve">). </w:t>
      </w:r>
    </w:p>
    <w:p w:rsidR="00E0336C" w:rsidRDefault="00E0336C" w:rsidP="00EC585C">
      <w:r>
        <w:t xml:space="preserve">En pratique, en parallèle à cette voie d’accès par inscription sur liste d’attente, il existe une seconde voie d’accès </w:t>
      </w:r>
      <w:r w:rsidRPr="00280714">
        <w:rPr>
          <w:i/>
        </w:rPr>
        <w:t>via</w:t>
      </w:r>
      <w:r>
        <w:t xml:space="preserve"> le système de</w:t>
      </w:r>
      <w:r w:rsidR="0020606E">
        <w:t>s</w:t>
      </w:r>
      <w:r>
        <w:t xml:space="preserve"> réservation</w:t>
      </w:r>
      <w:r w:rsidR="0020606E">
        <w:t>s</w:t>
      </w:r>
      <w:r>
        <w:t>. « La réservation de logements permet d’obtenir la mise à la disposition du réservataire de logements livrés ou remis à la location, afin que ce réservataire présente des candidats à l’attribution de ces logements »</w:t>
      </w:r>
      <w:r>
        <w:rPr>
          <w:rStyle w:val="Appelnotedebasdep"/>
        </w:rPr>
        <w:footnoteReference w:id="22"/>
      </w:r>
      <w:r w:rsidR="00D17139">
        <w:t>.</w:t>
      </w:r>
      <w:r w:rsidR="00A332C0">
        <w:t xml:space="preserve">Ces réservataires disposent de ce droit en contrepartie de financements, de garanties d’emprunt ou d’apport de terrains. Le </w:t>
      </w:r>
      <w:r w:rsidR="00D17139">
        <w:t>Code de la construction et de l’habitation (</w:t>
      </w:r>
      <w:r w:rsidR="00A332C0">
        <w:t>CCH</w:t>
      </w:r>
      <w:r w:rsidR="00D17139">
        <w:t>)</w:t>
      </w:r>
      <w:r w:rsidR="00A332C0">
        <w:t xml:space="preserve"> donne la liste des réservataires : l’État, les collectivités territoriales, leurs établissements publics, les ECI, les employeurs, Action Logement (ex C</w:t>
      </w:r>
      <w:r w:rsidR="0020606E">
        <w:t>IL</w:t>
      </w:r>
      <w:r w:rsidR="00A332C0">
        <w:t>), ainsi que les organismes à caractère désintéressé</w:t>
      </w:r>
      <w:r w:rsidR="00A332C0">
        <w:rPr>
          <w:rStyle w:val="Appelnotedebasdep"/>
        </w:rPr>
        <w:footnoteReference w:id="23"/>
      </w:r>
      <w:r w:rsidR="00A332C0">
        <w:t xml:space="preserve">. </w:t>
      </w:r>
      <w:r w:rsidR="00600D2D">
        <w:t>Dès qu’un logement se libère, l</w:t>
      </w:r>
      <w:r w:rsidR="00A332C0">
        <w:t xml:space="preserve">e réservataire est informé de cette vacance </w:t>
      </w:r>
      <w:r w:rsidR="008C794C">
        <w:t>et</w:t>
      </w:r>
      <w:r w:rsidR="00A332C0">
        <w:t xml:space="preserve"> </w:t>
      </w:r>
      <w:r w:rsidR="008C794C">
        <w:t xml:space="preserve">sélectionne alors </w:t>
      </w:r>
      <w:r w:rsidR="00A332C0">
        <w:t>un ou plusieurs demandeurs</w:t>
      </w:r>
      <w:r w:rsidR="00A332C0">
        <w:rPr>
          <w:rStyle w:val="Appelnotedebasdep"/>
        </w:rPr>
        <w:footnoteReference w:id="24"/>
      </w:r>
      <w:r w:rsidR="00371AA9">
        <w:t xml:space="preserve"> qui seront </w:t>
      </w:r>
      <w:r w:rsidR="00112E27">
        <w:t>proposés à la Commission d’attribution.</w:t>
      </w:r>
    </w:p>
    <w:p w:rsidR="004405AB" w:rsidRDefault="008C794C" w:rsidP="00EC585C">
      <w:r>
        <w:t>L</w:t>
      </w:r>
      <w:r w:rsidR="004405AB">
        <w:t xml:space="preserve">es commissions d’attribution dépendent de chaque organisme et se composent de responsables du bailleur et des représentants des réservataires (État, Collectivités locales, </w:t>
      </w:r>
      <w:r w:rsidR="00D34191">
        <w:t>Action Logement</w:t>
      </w:r>
      <w:r w:rsidR="004405AB">
        <w:t xml:space="preserve">) (cf. annexe 5). Pour chaque logement, sont présentés au moins trois dossiers, sauf </w:t>
      </w:r>
      <w:r>
        <w:t xml:space="preserve">dans le </w:t>
      </w:r>
      <w:r w:rsidR="004405AB">
        <w:t xml:space="preserve">cas </w:t>
      </w:r>
      <w:r>
        <w:t>o</w:t>
      </w:r>
      <w:r w:rsidR="0022401F">
        <w:t>ù</w:t>
      </w:r>
      <w:r>
        <w:t xml:space="preserve"> un ménage prioritaire </w:t>
      </w:r>
      <w:r w:rsidR="004405AB">
        <w:t>Dalo</w:t>
      </w:r>
      <w:r>
        <w:t xml:space="preserve"> est sur les rangs</w:t>
      </w:r>
      <w:r w:rsidR="004405AB">
        <w:t>. La commission se réunit en général deux fois par mois.</w:t>
      </w:r>
    </w:p>
    <w:p w:rsidR="00D15360" w:rsidRDefault="008C794C" w:rsidP="00EC585C">
      <w:r>
        <w:lastRenderedPageBreak/>
        <w:t>Elle</w:t>
      </w:r>
      <w:r w:rsidR="00D15360">
        <w:t xml:space="preserve"> </w:t>
      </w:r>
      <w:r w:rsidR="004405AB">
        <w:t xml:space="preserve">comprend </w:t>
      </w:r>
      <w:r w:rsidR="00D03837">
        <w:t xml:space="preserve">des responsables de l’organisme HLM, </w:t>
      </w:r>
      <w:r w:rsidR="00646838">
        <w:t>un représentant des administrateurs locataires, le maire de la commune ou son représentant et, enfin, le préfet ou son représentant</w:t>
      </w:r>
      <w:r w:rsidR="0020606E">
        <w:t>. Elle</w:t>
      </w:r>
      <w:r w:rsidR="004405AB">
        <w:t xml:space="preserve"> </w:t>
      </w:r>
      <w:r w:rsidR="00D15360">
        <w:t xml:space="preserve">statue sur tous les dossiers </w:t>
      </w:r>
      <w:r w:rsidR="004405AB">
        <w:t xml:space="preserve">présentés </w:t>
      </w:r>
      <w:r w:rsidR="00D15360">
        <w:t xml:space="preserve">dans un délai variable selon les </w:t>
      </w:r>
      <w:r w:rsidR="00646838">
        <w:t>communes et les organismes</w:t>
      </w:r>
      <w:r w:rsidR="00D15360">
        <w:t>.</w:t>
      </w:r>
    </w:p>
    <w:p w:rsidR="00D15360" w:rsidRDefault="00D15360" w:rsidP="00EC585C">
      <w:r>
        <w:t>En cas de proposition, le demandeur a dix jours pour accepter ou refuser son logement.</w:t>
      </w:r>
    </w:p>
    <w:p w:rsidR="00731621" w:rsidRDefault="00D15360" w:rsidP="00EC585C">
      <w:r>
        <w:t xml:space="preserve">Chaque année, le demandeur </w:t>
      </w:r>
      <w:r w:rsidR="00646838">
        <w:t xml:space="preserve">sur liste d’attente </w:t>
      </w:r>
      <w:r>
        <w:t>doit renouveler sa demande. Une relance est effectuée systématiquement un mois avant la date anniversaire d’expiration. Une demande non renouvelée est annulée.</w:t>
      </w:r>
    </w:p>
    <w:p w:rsidR="00731621" w:rsidRPr="00E86FF6" w:rsidRDefault="00731621" w:rsidP="00651AC5">
      <w:pPr>
        <w:pStyle w:val="Titre3"/>
      </w:pPr>
      <w:bookmarkStart w:id="6" w:name="_Toc509327116"/>
      <w:bookmarkStart w:id="7" w:name="_Toc509327207"/>
      <w:r w:rsidRPr="00E86FF6">
        <w:t>Le</w:t>
      </w:r>
      <w:r w:rsidR="006E384C" w:rsidRPr="00E86FF6">
        <w:t xml:space="preserve"> résultat</w:t>
      </w:r>
      <w:r w:rsidRPr="00E86FF6">
        <w:t xml:space="preserve"> d’un long processus historique</w:t>
      </w:r>
      <w:bookmarkEnd w:id="6"/>
      <w:bookmarkEnd w:id="7"/>
    </w:p>
    <w:p w:rsidR="00731621" w:rsidRDefault="003C457F" w:rsidP="00EC585C">
      <w:r>
        <w:t xml:space="preserve">Des années </w:t>
      </w:r>
      <w:r w:rsidR="00373D18">
        <w:t>19</w:t>
      </w:r>
      <w:r>
        <w:t xml:space="preserve">50 aux années </w:t>
      </w:r>
      <w:r w:rsidR="00373D18">
        <w:t>19</w:t>
      </w:r>
      <w:r>
        <w:t>90, on passe progressivement d’une attribution des logements sociaux liée à la situation résidentielle des ménages à une attribution liée à l</w:t>
      </w:r>
      <w:r w:rsidR="00373D18">
        <w:t>eur</w:t>
      </w:r>
      <w:r>
        <w:t xml:space="preserve"> situation économique et sociale : handicapés, famille monoparentale,</w:t>
      </w:r>
      <w:r w:rsidR="00DE7F73">
        <w:t xml:space="preserve"> reprise d’activité</w:t>
      </w:r>
      <w:r w:rsidR="00172D14">
        <w:t xml:space="preserve"> après une longue période de chô</w:t>
      </w:r>
      <w:r w:rsidR="00DE7F73">
        <w:t>mage</w:t>
      </w:r>
      <w:r w:rsidR="00172D14">
        <w:t>,</w:t>
      </w:r>
      <w:r w:rsidR="00DE7F73">
        <w:t xml:space="preserve"> </w:t>
      </w:r>
      <w:r>
        <w:t xml:space="preserve">etc. Longtemps opaques, les attributions deviennent de plus en plus transparentes. La </w:t>
      </w:r>
      <w:r w:rsidR="00E33ECF">
        <w:t>l</w:t>
      </w:r>
      <w:r>
        <w:t xml:space="preserve">oi </w:t>
      </w:r>
      <w:r w:rsidR="006A18D3">
        <w:t xml:space="preserve">Besson </w:t>
      </w:r>
      <w:r>
        <w:t>du 31 mai 1990 marque une étape essentielle</w:t>
      </w:r>
      <w:r w:rsidR="00373D18" w:rsidRPr="00373D18">
        <w:t xml:space="preserve"> </w:t>
      </w:r>
      <w:r w:rsidR="00373D18">
        <w:t>avec l’instauration du droit au logement pour tous</w:t>
      </w:r>
      <w:r>
        <w:t xml:space="preserve">. Le jugement porté à l’époque </w:t>
      </w:r>
      <w:r w:rsidR="00373D18">
        <w:t xml:space="preserve">sur les procédures d’attribution est </w:t>
      </w:r>
      <w:r>
        <w:t xml:space="preserve">sévère. On dénonce l’opacité du processus d’attribution, conséquence de la multiplicité des organismes, des réservataires, </w:t>
      </w:r>
      <w:r w:rsidR="00B66736">
        <w:t>de</w:t>
      </w:r>
      <w:r w:rsidR="00CA2F65">
        <w:t xml:space="preserve"> la</w:t>
      </w:r>
      <w:r w:rsidR="00B66736">
        <w:t xml:space="preserve"> </w:t>
      </w:r>
      <w:r>
        <w:t>diversité des types de logement, de</w:t>
      </w:r>
      <w:r w:rsidR="00FD5B02">
        <w:t>s</w:t>
      </w:r>
      <w:r>
        <w:t xml:space="preserve"> financement</w:t>
      </w:r>
      <w:r w:rsidR="00FD5B02">
        <w:t>s</w:t>
      </w:r>
      <w:r>
        <w:t>, de</w:t>
      </w:r>
      <w:r w:rsidR="00FD5B02">
        <w:t>s</w:t>
      </w:r>
      <w:r>
        <w:t xml:space="preserve"> niveaux de loyers, etc. Chaque système d’acteurs locaux interprète les textes à </w:t>
      </w:r>
      <w:r w:rsidR="00B66736">
        <w:t>sa</w:t>
      </w:r>
      <w:r>
        <w:t xml:space="preserve"> façon, </w:t>
      </w:r>
      <w:r w:rsidR="00D44E48">
        <w:t xml:space="preserve">pratique </w:t>
      </w:r>
      <w:r>
        <w:t>facilité</w:t>
      </w:r>
      <w:r w:rsidR="00B66736">
        <w:t>e</w:t>
      </w:r>
      <w:r>
        <w:t xml:space="preserve"> par la complexité des </w:t>
      </w:r>
      <w:r w:rsidR="00D44E48">
        <w:t>règles</w:t>
      </w:r>
      <w:r>
        <w:t>.</w:t>
      </w:r>
    </w:p>
    <w:p w:rsidR="003C457F" w:rsidRDefault="00E33ECF" w:rsidP="00EC585C">
      <w:r>
        <w:t xml:space="preserve">À la loi </w:t>
      </w:r>
      <w:r w:rsidR="006A18D3">
        <w:t xml:space="preserve">Besson </w:t>
      </w:r>
      <w:r>
        <w:t>v</w:t>
      </w:r>
      <w:r w:rsidR="00D34191">
        <w:t>ont</w:t>
      </w:r>
      <w:r>
        <w:t xml:space="preserve"> succéder la </w:t>
      </w:r>
      <w:r w:rsidR="00B66736">
        <w:t>l</w:t>
      </w:r>
      <w:r>
        <w:t>oi du 29 juillet 1998</w:t>
      </w:r>
      <w:r w:rsidR="00B66736">
        <w:t>,</w:t>
      </w:r>
      <w:r>
        <w:t xml:space="preserve"> dit</w:t>
      </w:r>
      <w:r w:rsidR="00B66736">
        <w:t>e</w:t>
      </w:r>
      <w:r>
        <w:t xml:space="preserve"> loi d’orientation relative à la lutte contre les exclusions, la loi SRU du 13 décembre 2000, la loi Dalo du 5 mai 2007, la loi Molle du 25 mars 2009 </w:t>
      </w:r>
      <w:r w:rsidR="00980F9E">
        <w:t xml:space="preserve">et encore la large </w:t>
      </w:r>
      <w:r w:rsidR="00A7683D">
        <w:t xml:space="preserve">concertation nationale </w:t>
      </w:r>
      <w:r w:rsidR="00373D18">
        <w:t xml:space="preserve">de </w:t>
      </w:r>
      <w:r w:rsidR="00A7683D">
        <w:t>2013</w:t>
      </w:r>
      <w:r w:rsidR="00373D18">
        <w:t>,</w:t>
      </w:r>
      <w:r w:rsidR="00A7683D">
        <w:t xml:space="preserve"> </w:t>
      </w:r>
      <w:r>
        <w:t xml:space="preserve">qui apportent toutes des précisions et des exigences dans le suivi des politiques et de l’attribution des logements sociaux. Peuvent </w:t>
      </w:r>
      <w:r w:rsidR="006E384C">
        <w:t>ainsi</w:t>
      </w:r>
      <w:r>
        <w:t xml:space="preserve"> être mis à l’actif de ces textes :</w:t>
      </w:r>
    </w:p>
    <w:p w:rsidR="00E33ECF" w:rsidRDefault="00E33ECF" w:rsidP="00EC585C">
      <w:pPr>
        <w:pStyle w:val="Paragraphedeliste"/>
        <w:numPr>
          <w:ilvl w:val="0"/>
          <w:numId w:val="17"/>
        </w:numPr>
      </w:pPr>
      <w:r>
        <w:t xml:space="preserve">une composition </w:t>
      </w:r>
      <w:r w:rsidR="00373D18">
        <w:t>réglementée</w:t>
      </w:r>
      <w:r>
        <w:t xml:space="preserve"> des </w:t>
      </w:r>
      <w:r w:rsidR="00373D18">
        <w:t>commissions </w:t>
      </w:r>
      <w:r>
        <w:t>;</w:t>
      </w:r>
    </w:p>
    <w:p w:rsidR="00E33ECF" w:rsidRDefault="00E33ECF" w:rsidP="00EC585C">
      <w:pPr>
        <w:pStyle w:val="Paragraphedeliste"/>
        <w:numPr>
          <w:ilvl w:val="0"/>
          <w:numId w:val="17"/>
        </w:numPr>
      </w:pPr>
      <w:r>
        <w:t xml:space="preserve">la </w:t>
      </w:r>
      <w:r w:rsidR="00373D18">
        <w:t>réglementation</w:t>
      </w:r>
      <w:r>
        <w:t xml:space="preserve"> des contingents et des réservations ;</w:t>
      </w:r>
    </w:p>
    <w:p w:rsidR="00E33ECF" w:rsidRDefault="00E33ECF" w:rsidP="00EC585C">
      <w:pPr>
        <w:pStyle w:val="Paragraphedeliste"/>
        <w:numPr>
          <w:ilvl w:val="0"/>
          <w:numId w:val="17"/>
        </w:numPr>
      </w:pPr>
      <w:r>
        <w:t>la responsabilité civile et pénale des acteurs (loi de 1998) ;</w:t>
      </w:r>
    </w:p>
    <w:p w:rsidR="00E33ECF" w:rsidRDefault="00E33ECF" w:rsidP="00EC585C">
      <w:pPr>
        <w:pStyle w:val="Paragraphedeliste"/>
        <w:numPr>
          <w:ilvl w:val="0"/>
          <w:numId w:val="17"/>
        </w:numPr>
      </w:pPr>
      <w:r>
        <w:t>le ciblage des personnes concernées (loi Molle avec</w:t>
      </w:r>
      <w:r w:rsidR="00BC2694">
        <w:t>, par</w:t>
      </w:r>
      <w:r>
        <w:t xml:space="preserve"> exemple</w:t>
      </w:r>
      <w:r w:rsidR="00BC2694">
        <w:t>,</w:t>
      </w:r>
      <w:r>
        <w:t xml:space="preserve"> la baisse des plafonds) ;</w:t>
      </w:r>
    </w:p>
    <w:p w:rsidR="00E33ECF" w:rsidRDefault="00E33ECF" w:rsidP="00EC585C">
      <w:pPr>
        <w:pStyle w:val="Paragraphedeliste"/>
        <w:numPr>
          <w:ilvl w:val="0"/>
          <w:numId w:val="17"/>
        </w:numPr>
      </w:pPr>
      <w:r>
        <w:t>le règlement départemental d’attribution ;</w:t>
      </w:r>
    </w:p>
    <w:p w:rsidR="00E33ECF" w:rsidRDefault="00E33ECF" w:rsidP="00EC585C">
      <w:pPr>
        <w:pStyle w:val="Paragraphedeliste"/>
        <w:numPr>
          <w:ilvl w:val="0"/>
          <w:numId w:val="17"/>
        </w:numPr>
      </w:pPr>
      <w:r>
        <w:t xml:space="preserve">la priorisation des situations spécifiques </w:t>
      </w:r>
      <w:r w:rsidR="00BC2694">
        <w:t>(</w:t>
      </w:r>
      <w:r>
        <w:t>loi de 1998</w:t>
      </w:r>
      <w:r w:rsidR="00BC2694">
        <w:t>)</w:t>
      </w:r>
      <w:r>
        <w:t> ;</w:t>
      </w:r>
    </w:p>
    <w:p w:rsidR="00E33ECF" w:rsidRDefault="00564C3F" w:rsidP="00EC585C">
      <w:pPr>
        <w:pStyle w:val="Paragraphedeliste"/>
        <w:numPr>
          <w:ilvl w:val="0"/>
          <w:numId w:val="17"/>
        </w:numPr>
      </w:pPr>
      <w:r>
        <w:t>la transparence de la procédure et une égalité de traitement des demandes. La loi de 1998 instaure le numéro unique d’enregistrement départemental</w:t>
      </w:r>
      <w:r w:rsidR="00A7683D">
        <w:t xml:space="preserve"> et la loi Molle (2010) instaure le formulaire unique de demande</w:t>
      </w:r>
      <w:r>
        <w:t> ;</w:t>
      </w:r>
    </w:p>
    <w:p w:rsidR="00564C3F" w:rsidRDefault="00564C3F" w:rsidP="00EC585C">
      <w:pPr>
        <w:pStyle w:val="Paragraphedeliste"/>
        <w:numPr>
          <w:ilvl w:val="0"/>
          <w:numId w:val="17"/>
        </w:numPr>
      </w:pPr>
      <w:r>
        <w:t xml:space="preserve">l’amélioration de la mobilité dans le parc avec notamment la réforme du droit </w:t>
      </w:r>
      <w:r w:rsidR="00CA2F65">
        <w:t xml:space="preserve">au </w:t>
      </w:r>
      <w:r>
        <w:t>maintien dans les lieux (loi Molle) qui n’est plus assuré pour les personnes qui dépassent les plafonds de ressources pendant trois ans ;</w:t>
      </w:r>
    </w:p>
    <w:p w:rsidR="004405AB" w:rsidRPr="00A7683D" w:rsidRDefault="004405AB" w:rsidP="00EC585C">
      <w:pPr>
        <w:pStyle w:val="Paragraphedeliste"/>
        <w:numPr>
          <w:ilvl w:val="0"/>
          <w:numId w:val="17"/>
        </w:numPr>
      </w:pPr>
      <w:r>
        <w:t xml:space="preserve">mise en place, dans les EPCI disposant d’un </w:t>
      </w:r>
      <w:r w:rsidR="004630F2">
        <w:t>Programme l</w:t>
      </w:r>
      <w:r w:rsidR="004630F2" w:rsidRPr="004F185C">
        <w:t>ocal de l’</w:t>
      </w:r>
      <w:r w:rsidR="004630F2">
        <w:t>h</w:t>
      </w:r>
      <w:r w:rsidR="004630F2" w:rsidRPr="004F185C">
        <w:t xml:space="preserve">abitat </w:t>
      </w:r>
      <w:r w:rsidR="004630F2">
        <w:t>(</w:t>
      </w:r>
      <w:r>
        <w:t>PLH</w:t>
      </w:r>
      <w:r w:rsidR="004630F2">
        <w:t>)</w:t>
      </w:r>
      <w:r>
        <w:t xml:space="preserve"> exécutoire, d’un plan de gestion de la demande de logement social et d’information de</w:t>
      </w:r>
      <w:r w:rsidR="00D34191">
        <w:t>s</w:t>
      </w:r>
      <w:r>
        <w:t xml:space="preserve"> demandeur</w:t>
      </w:r>
      <w:r w:rsidR="00D34191">
        <w:t>s</w:t>
      </w:r>
      <w:r>
        <w:t xml:space="preserve"> (</w:t>
      </w:r>
      <w:r w:rsidR="00CE6E13">
        <w:t>l</w:t>
      </w:r>
      <w:r>
        <w:t>oi ALUR de 2014) ;</w:t>
      </w:r>
    </w:p>
    <w:p w:rsidR="00A7683D" w:rsidRDefault="00564C3F" w:rsidP="00EC585C">
      <w:pPr>
        <w:pStyle w:val="Paragraphedeliste"/>
        <w:numPr>
          <w:ilvl w:val="0"/>
          <w:numId w:val="17"/>
        </w:numPr>
      </w:pPr>
      <w:r w:rsidRPr="00A7683D">
        <w:t>le renforcement de l’i</w:t>
      </w:r>
      <w:r w:rsidR="00A7683D" w:rsidRPr="00A7683D">
        <w:t>nformation des demandeurs. Après l’ouverture</w:t>
      </w:r>
      <w:r w:rsidR="00CE6E13">
        <w:t>,</w:t>
      </w:r>
      <w:r w:rsidR="00A7683D" w:rsidRPr="00A7683D">
        <w:t xml:space="preserve"> fin 2013</w:t>
      </w:r>
      <w:r w:rsidR="00CE6E13">
        <w:t>,</w:t>
      </w:r>
      <w:r w:rsidR="00A7683D" w:rsidRPr="00A7683D">
        <w:t xml:space="preserve"> d’un portail pour le renouvellement et la mise à jour des demandes de logements sociaux, le dossier unique du demandeur de logement social va se déployer sur tout le territoire dès le 1</w:t>
      </w:r>
      <w:r w:rsidR="00A7683D" w:rsidRPr="00A7683D">
        <w:rPr>
          <w:vertAlign w:val="superscript"/>
        </w:rPr>
        <w:t>er</w:t>
      </w:r>
      <w:r w:rsidR="00A7683D" w:rsidRPr="00A7683D">
        <w:t xml:space="preserve"> janvier 2016</w:t>
      </w:r>
      <w:r w:rsidR="00A7683D">
        <w:rPr>
          <w:rStyle w:val="Appelnotedebasdep"/>
        </w:rPr>
        <w:footnoteReference w:id="25"/>
      </w:r>
      <w:r w:rsidR="004405AB">
        <w:t>.</w:t>
      </w:r>
    </w:p>
    <w:p w:rsidR="004F185C" w:rsidRPr="004F185C" w:rsidRDefault="003F6352" w:rsidP="00EC585C">
      <w:r>
        <w:t>Mais, l</w:t>
      </w:r>
      <w:r w:rsidR="004F185C" w:rsidRPr="004F185C">
        <w:t xml:space="preserve">a loi Alur et ses décrets successifs visent aussi </w:t>
      </w:r>
      <w:r w:rsidR="0022205C">
        <w:t xml:space="preserve">et surtout </w:t>
      </w:r>
      <w:r w:rsidR="004F185C" w:rsidRPr="004F185C">
        <w:t xml:space="preserve">à rendre plus transparentes les procédures d’attribution en </w:t>
      </w:r>
      <w:r w:rsidR="004F185C">
        <w:t>rendant</w:t>
      </w:r>
      <w:r w:rsidR="004F185C" w:rsidRPr="004F185C">
        <w:t xml:space="preserve"> </w:t>
      </w:r>
      <w:r w:rsidR="00D34191" w:rsidRPr="004F185C">
        <w:t xml:space="preserve">publics </w:t>
      </w:r>
      <w:r w:rsidR="004F185C" w:rsidRPr="004F185C">
        <w:t xml:space="preserve">les règlements des commissions d’attribution, leurs décisions explicites et </w:t>
      </w:r>
      <w:r w:rsidR="00C10C6F">
        <w:t xml:space="preserve">à </w:t>
      </w:r>
      <w:r w:rsidR="00D34191">
        <w:t xml:space="preserve">permettre aux demandeurs </w:t>
      </w:r>
      <w:r w:rsidR="00C0257B">
        <w:t>d’être informés de</w:t>
      </w:r>
      <w:r w:rsidR="004F185C" w:rsidRPr="004F185C">
        <w:t xml:space="preserve"> l’évolution de leur candidature.</w:t>
      </w:r>
    </w:p>
    <w:p w:rsidR="004F185C" w:rsidRPr="004F185C" w:rsidRDefault="00C0257B" w:rsidP="00EC585C">
      <w:r>
        <w:lastRenderedPageBreak/>
        <w:t>L</w:t>
      </w:r>
      <w:r w:rsidR="004F185C" w:rsidRPr="004F185C">
        <w:t xml:space="preserve">a mise en place, puis le renforcement du Système </w:t>
      </w:r>
      <w:r w:rsidR="00CE6E13">
        <w:t>n</w:t>
      </w:r>
      <w:r w:rsidR="004F185C" w:rsidRPr="004F185C">
        <w:t>ational d’</w:t>
      </w:r>
      <w:r w:rsidR="00CE6E13">
        <w:t>e</w:t>
      </w:r>
      <w:r w:rsidR="004F185C" w:rsidRPr="004F185C">
        <w:t>nregistrement (SNE)</w:t>
      </w:r>
      <w:r>
        <w:t xml:space="preserve"> est un élément essentiel de la simplification des procédures</w:t>
      </w:r>
      <w:r w:rsidR="004F185C" w:rsidRPr="004F185C">
        <w:t>. En effet, conformément aux obligations de la loi Alur, le dispositif de gestion partagée des demandes, obligatoire sur le territoire des seuls EPCI (agglo</w:t>
      </w:r>
      <w:r>
        <w:t>mération</w:t>
      </w:r>
      <w:r w:rsidR="004F185C" w:rsidRPr="004F185C">
        <w:t>s, métropoles) dotés d’un PLH approuvé</w:t>
      </w:r>
      <w:r w:rsidR="00AB022C">
        <w:t xml:space="preserve"> (cf. </w:t>
      </w:r>
      <w:r w:rsidR="00AB022C" w:rsidRPr="0084227E">
        <w:rPr>
          <w:i/>
        </w:rPr>
        <w:t>supra</w:t>
      </w:r>
      <w:r w:rsidR="00AB022C">
        <w:t>)</w:t>
      </w:r>
      <w:r w:rsidR="004F185C" w:rsidRPr="004F185C">
        <w:t>, doit permettre à tous les acteurs dudit territoire de suivre l’évolution des dossiers en cours de traitement. Les éléments partagés permettent de disposer des informations uniformisées</w:t>
      </w:r>
      <w:r>
        <w:t>, d’être informés</w:t>
      </w:r>
      <w:r w:rsidR="004F185C" w:rsidRPr="004F185C">
        <w:t xml:space="preserve"> </w:t>
      </w:r>
      <w:r>
        <w:t>d</w:t>
      </w:r>
      <w:r w:rsidR="004F185C" w:rsidRPr="004F185C">
        <w:t>es rectifications de dossier</w:t>
      </w:r>
      <w:r>
        <w:t>s</w:t>
      </w:r>
      <w:r w:rsidR="004F185C" w:rsidRPr="004F185C">
        <w:t xml:space="preserve"> ou de l’éventuel caractère prioritaire de la demande. De plus, les services enregistreurs et instructeurs pourront </w:t>
      </w:r>
      <w:r>
        <w:t>enregistrer</w:t>
      </w:r>
      <w:r w:rsidRPr="004F185C">
        <w:t xml:space="preserve"> </w:t>
      </w:r>
      <w:r w:rsidR="004F185C" w:rsidRPr="004F185C">
        <w:t>un plus grand nombre d’événements affectant le suivi d’une demande de logement social.</w:t>
      </w:r>
    </w:p>
    <w:p w:rsidR="004F185C" w:rsidRPr="004F185C" w:rsidRDefault="004F185C" w:rsidP="00EC585C">
      <w:r w:rsidRPr="004F185C">
        <w:t xml:space="preserve">La centralisation des informations par le </w:t>
      </w:r>
      <w:r w:rsidR="00376836">
        <w:t>Système national d’enregistrement (</w:t>
      </w:r>
      <w:r w:rsidRPr="004F185C">
        <w:t>SNE</w:t>
      </w:r>
      <w:r w:rsidR="00376836">
        <w:t>)</w:t>
      </w:r>
      <w:r w:rsidR="0004782B">
        <w:rPr>
          <w:rStyle w:val="Appelnotedebasdep"/>
        </w:rPr>
        <w:footnoteReference w:id="26"/>
      </w:r>
      <w:r w:rsidRPr="004F185C">
        <w:t xml:space="preserve"> permettra aussi une meilleure connaissance statistique des demandes et attributions, le </w:t>
      </w:r>
      <w:r w:rsidR="00D44E48">
        <w:t>m</w:t>
      </w:r>
      <w:r w:rsidRPr="004F185C">
        <w:t xml:space="preserve">inistère du </w:t>
      </w:r>
      <w:r w:rsidR="00376836">
        <w:t>L</w:t>
      </w:r>
      <w:r w:rsidRPr="004F185C">
        <w:t>ogement ayant mis en service un Infocentre accessible à certains acteurs du logement (DHUP, services déconcentrés de l’</w:t>
      </w:r>
      <w:r w:rsidR="00CF5839" w:rsidRPr="004F185C">
        <w:t>État</w:t>
      </w:r>
      <w:r w:rsidRPr="004F185C">
        <w:t>, gestionnaires territoriaux du SNE et l’USH). C’est notamment sur ces données récentes et relativement fiables que se basent les études et recherches faisant évoluer les textes législatifs et réglementaires.</w:t>
      </w:r>
    </w:p>
    <w:p w:rsidR="004F185C" w:rsidRDefault="004F185C" w:rsidP="00EC585C">
      <w:r w:rsidRPr="004F185C">
        <w:t>La loi Égalité &amp; Citoyenneté reprend également ces thématiques en développant la gestion partagée à l’échelle de l’intercommunalité, mais aussi en rendant plus lisibles et applicables les critères d’attribution des logements au sein des Commissions d’attribution des logements (Cal).</w:t>
      </w:r>
    </w:p>
    <w:p w:rsidR="00564C3F" w:rsidRDefault="00147F51" w:rsidP="00EC585C">
      <w:r>
        <w:t>Il reste certainement</w:t>
      </w:r>
      <w:r w:rsidR="00A5020A">
        <w:t>, néanmoins,</w:t>
      </w:r>
      <w:r>
        <w:t xml:space="preserve"> encore quelques progrès à faire, qui ne manqueront pas d’être inscrits un jour dans la loi</w:t>
      </w:r>
      <w:r w:rsidR="00C15CC9">
        <w:t>, même si ces mesures suscitent des controverses et ne sauraient être considérées comme la pan</w:t>
      </w:r>
      <w:r w:rsidR="0004782B">
        <w:t>a</w:t>
      </w:r>
      <w:r w:rsidR="00C15CC9">
        <w:t>cée</w:t>
      </w:r>
      <w:r>
        <w:t>. On peut citer :</w:t>
      </w:r>
    </w:p>
    <w:p w:rsidR="00147F51" w:rsidRDefault="00147F51" w:rsidP="00EC585C">
      <w:pPr>
        <w:pStyle w:val="Paragraphedeliste"/>
        <w:numPr>
          <w:ilvl w:val="0"/>
          <w:numId w:val="17"/>
        </w:numPr>
      </w:pPr>
      <w:r>
        <w:t>l’anonymisation des demandes</w:t>
      </w:r>
      <w:r>
        <w:rPr>
          <w:rStyle w:val="Appelnotedebasdep"/>
        </w:rPr>
        <w:footnoteReference w:id="27"/>
      </w:r>
      <w:r>
        <w:t xml:space="preserve">. Un </w:t>
      </w:r>
      <w:r w:rsidR="006C4736">
        <w:t>test</w:t>
      </w:r>
      <w:r w:rsidR="00CF5839">
        <w:t>,</w:t>
      </w:r>
      <w:r>
        <w:t xml:space="preserve"> en 2006</w:t>
      </w:r>
      <w:r w:rsidR="00CF5839">
        <w:t>,</w:t>
      </w:r>
      <w:r>
        <w:t xml:space="preserve"> avec la société anonyme de construction de la ville de Lyon</w:t>
      </w:r>
      <w:r>
        <w:rPr>
          <w:rStyle w:val="Appelnotedebasdep"/>
        </w:rPr>
        <w:footnoteReference w:id="28"/>
      </w:r>
      <w:r>
        <w:t>, à l’initiative de la HALDE, a montré que l’anonymisation des demandes s’était traduite par des attributions passées de 43% à 59% en faveur des personnes d’origine extra-européenne</w:t>
      </w:r>
      <w:r w:rsidR="00283751">
        <w:t> ;</w:t>
      </w:r>
    </w:p>
    <w:p w:rsidR="00283751" w:rsidRDefault="00283751" w:rsidP="00EC585C">
      <w:pPr>
        <w:pStyle w:val="Paragraphedeliste"/>
        <w:numPr>
          <w:ilvl w:val="0"/>
          <w:numId w:val="17"/>
        </w:numPr>
      </w:pPr>
      <w:r>
        <w:t xml:space="preserve">l’enregistrement vidéo de séances de la Commission d’attribution, afin que puisse être vérifiée la teneur des débats sur demande soit des membres absents de la commission, soit </w:t>
      </w:r>
      <w:r w:rsidR="00220646">
        <w:t>d’</w:t>
      </w:r>
      <w:r>
        <w:t>un demandeur</w:t>
      </w:r>
      <w:r w:rsidR="00871518">
        <w:rPr>
          <w:rStyle w:val="Appelnotedebasdep"/>
        </w:rPr>
        <w:footnoteReference w:id="29"/>
      </w:r>
      <w:r>
        <w:t>;</w:t>
      </w:r>
    </w:p>
    <w:p w:rsidR="00283751" w:rsidRPr="00C840CD" w:rsidRDefault="00283751" w:rsidP="00EC585C">
      <w:pPr>
        <w:pStyle w:val="Paragraphedeliste"/>
        <w:numPr>
          <w:ilvl w:val="0"/>
          <w:numId w:val="17"/>
        </w:numPr>
      </w:pPr>
      <w:r w:rsidRPr="00C840CD">
        <w:t>la mise en place de commissions intercommunales des attributions</w:t>
      </w:r>
      <w:r w:rsidR="00124E5B">
        <w:t>,</w:t>
      </w:r>
      <w:r w:rsidRPr="00C840CD">
        <w:t xml:space="preserve"> qui limiterait les </w:t>
      </w:r>
      <w:r w:rsidR="006C4736" w:rsidRPr="00C840CD">
        <w:t>soupçons</w:t>
      </w:r>
      <w:r w:rsidRPr="00C840CD">
        <w:t xml:space="preserve"> de </w:t>
      </w:r>
      <w:r w:rsidR="00D44E48">
        <w:t>favoritisme</w:t>
      </w:r>
      <w:r w:rsidR="00D44E48" w:rsidRPr="00C840CD">
        <w:t xml:space="preserve"> </w:t>
      </w:r>
      <w:r w:rsidRPr="00C840CD">
        <w:t xml:space="preserve">qui </w:t>
      </w:r>
      <w:r w:rsidR="00D44E48">
        <w:t>pèsent</w:t>
      </w:r>
      <w:r w:rsidR="00D44E48" w:rsidRPr="00C840CD">
        <w:t xml:space="preserve"> </w:t>
      </w:r>
      <w:r w:rsidRPr="00C840CD">
        <w:t>sur les maires et encourage</w:t>
      </w:r>
      <w:r w:rsidR="00F40C20">
        <w:t>rait</w:t>
      </w:r>
      <w:r w:rsidRPr="00C840CD">
        <w:t xml:space="preserve"> une gestion plus cohérente du parc et de sa population</w:t>
      </w:r>
      <w:r w:rsidR="008C1445" w:rsidRPr="00C840CD">
        <w:t>.</w:t>
      </w:r>
    </w:p>
    <w:p w:rsidR="0022401F" w:rsidRDefault="004E6986" w:rsidP="00EC585C">
      <w:r>
        <w:t>La loi ELAN n’échappe pas à la règle et comprend diverses dispositions visant à fluidifier les attributions</w:t>
      </w:r>
      <w:r w:rsidR="00526724">
        <w:t>. Les article</w:t>
      </w:r>
      <w:r w:rsidR="00086AE9">
        <w:t>s</w:t>
      </w:r>
      <w:r w:rsidR="00526724">
        <w:t xml:space="preserve"> 35 à 38 du projet de loi prévoient que :</w:t>
      </w:r>
    </w:p>
    <w:p w:rsidR="00526724" w:rsidRDefault="00526724" w:rsidP="00EC585C">
      <w:pPr>
        <w:pStyle w:val="Paragraphedeliste"/>
        <w:numPr>
          <w:ilvl w:val="0"/>
          <w:numId w:val="17"/>
        </w:numPr>
      </w:pPr>
      <w:r>
        <w:t>la commission d’attribution devient commission d’attribution et d’examen de l’occupation des logements</w:t>
      </w:r>
      <w:r w:rsidR="00172D14">
        <w:t>.</w:t>
      </w:r>
      <w:r>
        <w:t xml:space="preserve"> </w:t>
      </w:r>
      <w:r w:rsidR="00172D14">
        <w:t>Elle</w:t>
      </w:r>
      <w:r>
        <w:t xml:space="preserve"> voit donc ses compétences élargies aux logements en sur-occupation ou sous-</w:t>
      </w:r>
      <w:r>
        <w:lastRenderedPageBreak/>
        <w:t>occupation</w:t>
      </w:r>
      <w:r w:rsidR="009A54A3">
        <w:rPr>
          <w:rStyle w:val="Appelnotedebasdep"/>
        </w:rPr>
        <w:footnoteReference w:id="30"/>
      </w:r>
      <w:r>
        <w:t xml:space="preserve"> dans certaines zones souffrant d’un</w:t>
      </w:r>
      <w:r w:rsidR="00172D14">
        <w:t xml:space="preserve"> déséquilibre</w:t>
      </w:r>
      <w:r>
        <w:t xml:space="preserve"> entre offre et demande</w:t>
      </w:r>
      <w:r w:rsidR="00172D14">
        <w:t>.</w:t>
      </w:r>
      <w:r>
        <w:t xml:space="preserve"> </w:t>
      </w:r>
      <w:r w:rsidR="0036452E">
        <w:t>Dans</w:t>
      </w:r>
      <w:r>
        <w:t xml:space="preserve"> ces cas, la commission pourra émettre des préconisations d’offre de relogement notifiées aux locataires. L</w:t>
      </w:r>
      <w:r w:rsidR="00172D14">
        <w:t>a totalité du parc</w:t>
      </w:r>
      <w:r>
        <w:t xml:space="preserve"> </w:t>
      </w:r>
      <w:r w:rsidR="00172D14">
        <w:t xml:space="preserve">en gestion </w:t>
      </w:r>
      <w:r>
        <w:t>fera l’objet d’un examen sur la base de ces critères tous les six ans ;</w:t>
      </w:r>
    </w:p>
    <w:p w:rsidR="00526724" w:rsidRDefault="00526724" w:rsidP="00EC585C">
      <w:pPr>
        <w:pStyle w:val="Paragraphedeliste"/>
        <w:numPr>
          <w:ilvl w:val="0"/>
          <w:numId w:val="17"/>
        </w:numPr>
      </w:pPr>
      <w:r>
        <w:t>la généralisation du système de cotation pour les EPCI dotés d’un PHL ou compétents en matière d’habitat, et pour les métropoles, afin de rendre le processus d’attribution plus lisible et plus objectif ;</w:t>
      </w:r>
    </w:p>
    <w:p w:rsidR="00526724" w:rsidRPr="00526724" w:rsidRDefault="00526724" w:rsidP="00EC585C">
      <w:pPr>
        <w:pStyle w:val="Paragraphedeliste"/>
        <w:numPr>
          <w:ilvl w:val="0"/>
          <w:numId w:val="17"/>
        </w:numPr>
      </w:pPr>
      <w:r>
        <w:t xml:space="preserve">enfin, le texte consacre le principe de la </w:t>
      </w:r>
      <w:r w:rsidR="009A54A3">
        <w:t xml:space="preserve">gestion des attributions en flux annuel, afin de mettre fin au cloisonnement induit par le système actuel de réservation. Il restera </w:t>
      </w:r>
      <w:r w:rsidR="007364D5">
        <w:t xml:space="preserve">au plan pratique </w:t>
      </w:r>
      <w:r w:rsidR="009A54A3">
        <w:t xml:space="preserve">à </w:t>
      </w:r>
      <w:r w:rsidR="007364D5">
        <w:t xml:space="preserve">décider </w:t>
      </w:r>
      <w:r w:rsidR="009A54A3">
        <w:t>l</w:t>
      </w:r>
      <w:r w:rsidR="007364D5">
        <w:t>a mise en place</w:t>
      </w:r>
      <w:r w:rsidR="009A54A3">
        <w:t xml:space="preserve"> ou non d’un système de </w:t>
      </w:r>
      <w:r w:rsidR="00871518">
        <w:t>c</w:t>
      </w:r>
      <w:r w:rsidR="009A54A3">
        <w:t xml:space="preserve">otation </w:t>
      </w:r>
      <w:r w:rsidR="00172D14">
        <w:t>des logements</w:t>
      </w:r>
      <w:r w:rsidR="00FC54DF">
        <w:t xml:space="preserve"> </w:t>
      </w:r>
      <w:r w:rsidR="00026BD0">
        <w:t>en fonction de leur qualité, notamment la localisation</w:t>
      </w:r>
      <w:r w:rsidR="009A54A3">
        <w:t>.</w:t>
      </w:r>
    </w:p>
    <w:p w:rsidR="00717DF9" w:rsidRPr="00717DF9" w:rsidRDefault="00717DF9" w:rsidP="00EC585C">
      <w:r>
        <w:t xml:space="preserve">Cette volonté de toujours mieux faire </w:t>
      </w:r>
      <w:r w:rsidR="00DB5AD5">
        <w:t>laisse entière une question centrale : comment choisir</w:t>
      </w:r>
      <w:r w:rsidR="00CF5839">
        <w:t>,</w:t>
      </w:r>
      <w:r w:rsidR="00DB5AD5">
        <w:t xml:space="preserve"> dans un groupe donné (respect des plafonds, etc.)</w:t>
      </w:r>
      <w:r w:rsidR="00CF5839">
        <w:t>,</w:t>
      </w:r>
      <w:r w:rsidR="00DB5AD5">
        <w:t xml:space="preserve"> entre plusieurs candidats ? Là est le vrai sujet</w:t>
      </w:r>
      <w:r w:rsidR="006C4736">
        <w:t xml:space="preserve"> </w:t>
      </w:r>
      <w:r w:rsidR="0022205C">
        <w:t>de l’équité ou non des attributions</w:t>
      </w:r>
      <w:r w:rsidR="00DB5AD5">
        <w:t xml:space="preserve"> qu’il nous </w:t>
      </w:r>
      <w:r w:rsidR="006C4736">
        <w:t xml:space="preserve">faut </w:t>
      </w:r>
      <w:r w:rsidR="00DB5AD5">
        <w:t>maintenant appréhender.</w:t>
      </w:r>
    </w:p>
    <w:p w:rsidR="00F44B21" w:rsidRPr="00E86FF6" w:rsidRDefault="00680082" w:rsidP="00B81DED">
      <w:pPr>
        <w:pStyle w:val="Titre1"/>
        <w:ind w:left="0" w:firstLine="0"/>
      </w:pPr>
      <w:bookmarkStart w:id="8" w:name="_Toc509327208"/>
      <w:r w:rsidRPr="0022205C">
        <w:t>U</w:t>
      </w:r>
      <w:r w:rsidR="00F44B21" w:rsidRPr="0022205C">
        <w:t>n</w:t>
      </w:r>
      <w:r w:rsidR="00F44B21" w:rsidRPr="00E86FF6">
        <w:t xml:space="preserve"> système </w:t>
      </w:r>
      <w:r w:rsidR="00F44B21" w:rsidRPr="00B81DED">
        <w:t>d’attribution</w:t>
      </w:r>
      <w:r w:rsidR="00F44B21" w:rsidRPr="00E86FF6">
        <w:t xml:space="preserve"> p</w:t>
      </w:r>
      <w:r w:rsidR="00F21714" w:rsidRPr="00E86FF6">
        <w:t xml:space="preserve">lus juste, </w:t>
      </w:r>
      <w:r>
        <w:t xml:space="preserve">plus </w:t>
      </w:r>
      <w:r w:rsidR="00F21714" w:rsidRPr="00E86FF6">
        <w:t xml:space="preserve">efficace et </w:t>
      </w:r>
      <w:r>
        <w:t xml:space="preserve">plus </w:t>
      </w:r>
      <w:r w:rsidR="00F21714" w:rsidRPr="00E86FF6">
        <w:t>objectif</w:t>
      </w:r>
      <w:r w:rsidR="00EA7FEE">
        <w:t> ?</w:t>
      </w:r>
      <w:bookmarkEnd w:id="8"/>
    </w:p>
    <w:p w:rsidR="00F44B21" w:rsidRDefault="00F44B21" w:rsidP="00EC585C">
      <w:r>
        <w:t xml:space="preserve">Domaine </w:t>
      </w:r>
      <w:r w:rsidR="003D4237">
        <w:t xml:space="preserve">par excellence </w:t>
      </w:r>
      <w:r>
        <w:t>de la langue de bois, l’attribution des logements sociaux doit s’analyser à deux niveaux :</w:t>
      </w:r>
    </w:p>
    <w:p w:rsidR="00F44B21" w:rsidRDefault="00F44B21" w:rsidP="00EC585C">
      <w:pPr>
        <w:pStyle w:val="Paragraphedeliste"/>
        <w:numPr>
          <w:ilvl w:val="0"/>
          <w:numId w:val="17"/>
        </w:numPr>
      </w:pPr>
      <w:r>
        <w:t>au plan juridique ;</w:t>
      </w:r>
    </w:p>
    <w:p w:rsidR="00830219" w:rsidRPr="00FB4A26" w:rsidRDefault="00F935C4" w:rsidP="00EC585C">
      <w:pPr>
        <w:pStyle w:val="Paragraphedeliste"/>
        <w:numPr>
          <w:ilvl w:val="0"/>
          <w:numId w:val="17"/>
        </w:numPr>
      </w:pPr>
      <w:r>
        <w:t xml:space="preserve">au </w:t>
      </w:r>
      <w:r w:rsidR="00B87B07">
        <w:t>point de vue</w:t>
      </w:r>
      <w:r>
        <w:t xml:space="preserve"> de la pratique et </w:t>
      </w:r>
      <w:r w:rsidR="00B6339A">
        <w:t>des résultats</w:t>
      </w:r>
      <w:r w:rsidR="00C72BFF">
        <w:t>,</w:t>
      </w:r>
      <w:r>
        <w:t xml:space="preserve"> du fait de l’existence toujours possible </w:t>
      </w:r>
      <w:r w:rsidR="00C72BFF">
        <w:t>d’un décalage</w:t>
      </w:r>
      <w:r>
        <w:t xml:space="preserve"> entre formalisme et pratique.</w:t>
      </w:r>
    </w:p>
    <w:p w:rsidR="002772B8" w:rsidRPr="00B6339A" w:rsidRDefault="00F935C4" w:rsidP="00EC585C">
      <w:r>
        <w:t xml:space="preserve">On l’a déjà dit, </w:t>
      </w:r>
      <w:r w:rsidR="005C03FB">
        <w:t>l’</w:t>
      </w:r>
      <w:r>
        <w:t xml:space="preserve">occupation </w:t>
      </w:r>
      <w:r w:rsidR="005C03FB">
        <w:t>sociale</w:t>
      </w:r>
      <w:r>
        <w:t xml:space="preserve"> du parc se renforce</w:t>
      </w:r>
      <w:r w:rsidR="00351F03">
        <w:t xml:space="preserve">, ce qui découle de la nature des flux entrants et sortants, du vieillissement des locataires, voire de la croissance des situations de pauvreté dans </w:t>
      </w:r>
      <w:r w:rsidR="00351F03" w:rsidRPr="00C72BFF">
        <w:t>notre pays</w:t>
      </w:r>
      <w:r w:rsidR="00B81DED">
        <w:t>.</w:t>
      </w:r>
      <w:r w:rsidR="00351F03">
        <w:t xml:space="preserve"> La multiplication des facteurs </w:t>
      </w:r>
      <w:r w:rsidR="00220646">
        <w:t xml:space="preserve">causals </w:t>
      </w:r>
      <w:r w:rsidR="00351F03">
        <w:t>fait qu’</w:t>
      </w:r>
      <w:r>
        <w:t xml:space="preserve">il convient </w:t>
      </w:r>
      <w:r w:rsidR="00351F03">
        <w:t xml:space="preserve">tout à la fois </w:t>
      </w:r>
      <w:r>
        <w:t>de se méfier des</w:t>
      </w:r>
      <w:r w:rsidR="00B81DED">
        <w:t xml:space="preserve"> </w:t>
      </w:r>
      <w:r w:rsidR="00B6339A">
        <w:t>anecdotes</w:t>
      </w:r>
      <w:r>
        <w:t xml:space="preserve"> à vocation édifiante ou </w:t>
      </w:r>
      <w:r w:rsidR="005C03FB">
        <w:t>hagiographique</w:t>
      </w:r>
      <w:r w:rsidR="00351F03">
        <w:t>, mais aussi d’un discours lénifiant sur la « qualité » des attributions</w:t>
      </w:r>
      <w:r>
        <w:t>. Nul ne peut</w:t>
      </w:r>
      <w:r w:rsidR="00351F03">
        <w:t>, d’un côté,</w:t>
      </w:r>
      <w:r>
        <w:t xml:space="preserve"> s’accommoder de cas particuliers scandaleux, mais ils ne font pas </w:t>
      </w:r>
      <w:r w:rsidR="005C03FB">
        <w:t xml:space="preserve">nécessairement </w:t>
      </w:r>
      <w:r>
        <w:t xml:space="preserve">système. </w:t>
      </w:r>
      <w:r w:rsidR="002772B8">
        <w:t>Il faut également se méfier de l’inévitable frustration de tous ceux qui ne figurent pas dans les gagnants</w:t>
      </w:r>
      <w:r w:rsidR="002772B8">
        <w:rPr>
          <w:rStyle w:val="Appelnotedebasdep"/>
        </w:rPr>
        <w:footnoteReference w:id="31"/>
      </w:r>
      <w:r w:rsidR="002772B8">
        <w:t>.</w:t>
      </w:r>
      <w:r w:rsidR="00351F03">
        <w:t xml:space="preserve"> Mais,</w:t>
      </w:r>
      <w:r w:rsidR="006452F7">
        <w:t xml:space="preserve"> </w:t>
      </w:r>
      <w:r w:rsidR="00B012BD">
        <w:t>à l’inverse</w:t>
      </w:r>
      <w:r w:rsidR="00B6339A">
        <w:t xml:space="preserve"> </w:t>
      </w:r>
      <w:r w:rsidR="00351F03">
        <w:t>nul ne peut passer sous silence les imperfections très réelles du système.</w:t>
      </w:r>
      <w:r w:rsidR="00C72BFF">
        <w:t xml:space="preserve"> </w:t>
      </w:r>
      <w:r w:rsidR="00B6339A">
        <w:t xml:space="preserve">Si </w:t>
      </w:r>
      <w:r w:rsidR="002772B8" w:rsidRPr="00B6339A">
        <w:t>beaucoup a été fait</w:t>
      </w:r>
      <w:r w:rsidR="00B6339A">
        <w:t xml:space="preserve">, </w:t>
      </w:r>
      <w:r w:rsidR="002772B8" w:rsidRPr="00B6339A">
        <w:t xml:space="preserve">beaucoup reste </w:t>
      </w:r>
      <w:r w:rsidR="00606C36">
        <w:t xml:space="preserve">encore </w:t>
      </w:r>
      <w:r w:rsidR="002772B8" w:rsidRPr="00B6339A">
        <w:t xml:space="preserve">à faire, comme le </w:t>
      </w:r>
      <w:r w:rsidR="005C03FB" w:rsidRPr="00B6339A">
        <w:t>prouve</w:t>
      </w:r>
      <w:r w:rsidR="00CC6EDB" w:rsidRPr="00B6339A">
        <w:t>nt</w:t>
      </w:r>
      <w:r w:rsidR="002772B8" w:rsidRPr="00B6339A">
        <w:t xml:space="preserve"> </w:t>
      </w:r>
      <w:r w:rsidR="00351F03" w:rsidRPr="00B6339A">
        <w:t xml:space="preserve">les </w:t>
      </w:r>
      <w:r w:rsidR="002772B8" w:rsidRPr="00B6339A">
        <w:t>récent</w:t>
      </w:r>
      <w:r w:rsidR="00351F03" w:rsidRPr="00B6339A">
        <w:t>s</w:t>
      </w:r>
      <w:r w:rsidR="002772B8" w:rsidRPr="00B6339A">
        <w:t xml:space="preserve"> rapport</w:t>
      </w:r>
      <w:r w:rsidR="00351F03" w:rsidRPr="00B6339A">
        <w:t>s</w:t>
      </w:r>
      <w:r w:rsidR="002772B8" w:rsidRPr="00B6339A">
        <w:t xml:space="preserve"> de la Cour des </w:t>
      </w:r>
      <w:r w:rsidR="00F40C20" w:rsidRPr="00B6339A">
        <w:t>c</w:t>
      </w:r>
      <w:r w:rsidR="002772B8" w:rsidRPr="00B6339A">
        <w:t>omptes sur l’Île-de-</w:t>
      </w:r>
      <w:r w:rsidR="00C667B7" w:rsidRPr="00B6339A">
        <w:t>France</w:t>
      </w:r>
      <w:r w:rsidR="002772B8">
        <w:rPr>
          <w:rStyle w:val="Appelnotedebasdep"/>
        </w:rPr>
        <w:footnoteReference w:id="32"/>
      </w:r>
      <w:r w:rsidR="00C667B7" w:rsidRPr="00B6339A">
        <w:t xml:space="preserve"> ou de l’Inspection des Finances</w:t>
      </w:r>
      <w:r w:rsidR="00C667B7">
        <w:rPr>
          <w:rStyle w:val="Appelnotedebasdep"/>
        </w:rPr>
        <w:footnoteReference w:id="33"/>
      </w:r>
      <w:r w:rsidR="002F7ECE" w:rsidRPr="00B6339A">
        <w:t>.</w:t>
      </w:r>
    </w:p>
    <w:p w:rsidR="00351F03" w:rsidRDefault="00351F03" w:rsidP="00EC585C">
      <w:r>
        <w:t>De fait, malgré les réformes multiples, les insuffisances du dispositif d’attribution porte</w:t>
      </w:r>
      <w:r w:rsidR="00CC6EDB">
        <w:t>nt</w:t>
      </w:r>
      <w:r>
        <w:t xml:space="preserve"> encore sur :</w:t>
      </w:r>
    </w:p>
    <w:p w:rsidR="00351F03" w:rsidRDefault="00351F03" w:rsidP="00EC585C">
      <w:pPr>
        <w:pStyle w:val="Paragraphedeliste"/>
        <w:numPr>
          <w:ilvl w:val="0"/>
          <w:numId w:val="17"/>
        </w:numPr>
      </w:pPr>
      <w:r>
        <w:t>les limites en termes de transparence de la gestion des dossiers de dépôt de candidature, tout au long de leur vie ;</w:t>
      </w:r>
    </w:p>
    <w:p w:rsidR="00351F03" w:rsidRDefault="00351F03" w:rsidP="00EC585C">
      <w:pPr>
        <w:pStyle w:val="Paragraphedeliste"/>
        <w:numPr>
          <w:ilvl w:val="0"/>
          <w:numId w:val="17"/>
        </w:numPr>
      </w:pPr>
      <w:r>
        <w:t>la trop grande complexité des filières d’accès et la multiplicité des acteurs en jeu ;</w:t>
      </w:r>
    </w:p>
    <w:p w:rsidR="00351F03" w:rsidRDefault="007D2C1B" w:rsidP="00EC585C">
      <w:pPr>
        <w:pStyle w:val="Paragraphedeliste"/>
        <w:numPr>
          <w:ilvl w:val="0"/>
          <w:numId w:val="17"/>
        </w:numPr>
      </w:pPr>
      <w:r>
        <w:t xml:space="preserve">l’absence d’évaluation sérieuse des processus. « En raison de la difficulté à hiérarchiser les critères de priorisation des demandeurs, certains acteurs relèvent que le contrôle effectué </w:t>
      </w:r>
      <w:r w:rsidRPr="00280714">
        <w:rPr>
          <w:i/>
        </w:rPr>
        <w:t xml:space="preserve">a </w:t>
      </w:r>
      <w:r w:rsidRPr="00280714">
        <w:rPr>
          <w:i/>
        </w:rPr>
        <w:lastRenderedPageBreak/>
        <w:t>posteriori</w:t>
      </w:r>
      <w:r>
        <w:t xml:space="preserve"> </w:t>
      </w:r>
      <w:r w:rsidR="00527897">
        <w:t>[</w:t>
      </w:r>
      <w:r>
        <w:t>...</w:t>
      </w:r>
      <w:r w:rsidR="00527897">
        <w:t>]</w:t>
      </w:r>
      <w:r>
        <w:t xml:space="preserve"> du respect des conditions d’accès par les bailleurs ne permet pas de garantir suffisamment le respect des critères de priorité</w:t>
      </w:r>
      <w:r w:rsidR="00FC1204">
        <w:rPr>
          <w:rStyle w:val="Appelnotedebasdep"/>
        </w:rPr>
        <w:footnoteReference w:id="34"/>
      </w:r>
      <w:r>
        <w:t> » ;</w:t>
      </w:r>
    </w:p>
    <w:p w:rsidR="007D2C1B" w:rsidRDefault="007D2C1B" w:rsidP="00EC585C">
      <w:pPr>
        <w:pStyle w:val="Paragraphedeliste"/>
        <w:numPr>
          <w:ilvl w:val="0"/>
          <w:numId w:val="17"/>
        </w:numPr>
      </w:pPr>
      <w:r>
        <w:t>l’articulation insatisfaisante des responsabilités entre les différents édiles territoriaux ;</w:t>
      </w:r>
    </w:p>
    <w:p w:rsidR="007D2C1B" w:rsidRDefault="007D2C1B" w:rsidP="00EC585C">
      <w:pPr>
        <w:pStyle w:val="Paragraphedeliste"/>
        <w:numPr>
          <w:ilvl w:val="0"/>
          <w:numId w:val="17"/>
        </w:numPr>
      </w:pPr>
      <w:r>
        <w:t>certain</w:t>
      </w:r>
      <w:r w:rsidR="00EC73F1">
        <w:t>e</w:t>
      </w:r>
      <w:r>
        <w:t>s politiques de peuplement</w:t>
      </w:r>
      <w:r w:rsidR="00527897" w:rsidRPr="00527897">
        <w:t xml:space="preserve"> </w:t>
      </w:r>
      <w:r w:rsidR="00527897">
        <w:t>qui</w:t>
      </w:r>
      <w:r>
        <w:t xml:space="preserve">, au nom de la mixité sociale, d’une part </w:t>
      </w:r>
      <w:r w:rsidR="00B012BD">
        <w:t xml:space="preserve">entrent </w:t>
      </w:r>
      <w:r>
        <w:t>en conflit avec le relogement des publics prioritaires, d’autre part condui</w:t>
      </w:r>
      <w:r w:rsidR="00AC467D">
        <w:t>sen</w:t>
      </w:r>
      <w:r>
        <w:t>t à des discriminations géographiques avec notamment le regroupement des ménages les plus aisés dans les meilleurs quartiers</w:t>
      </w:r>
      <w:r w:rsidR="00EC73F1">
        <w:t xml:space="preserve"> (cf. infra)</w:t>
      </w:r>
      <w:r>
        <w:t> ;</w:t>
      </w:r>
    </w:p>
    <w:p w:rsidR="0004782B" w:rsidRDefault="0004782B" w:rsidP="00EC585C">
      <w:pPr>
        <w:pStyle w:val="Paragraphedeliste"/>
        <w:numPr>
          <w:ilvl w:val="0"/>
          <w:numId w:val="17"/>
        </w:numPr>
      </w:pPr>
      <w:r>
        <w:t xml:space="preserve">la référence au revenu N-2 </w:t>
      </w:r>
      <w:r w:rsidR="004D37E9">
        <w:t>alors</w:t>
      </w:r>
      <w:r>
        <w:t xml:space="preserve"> qu’il faudrait se référer aux</w:t>
      </w:r>
      <w:r w:rsidR="004D37E9">
        <w:t xml:space="preserve"> revenus de l’année en cours, même si cela pose des problèmes en cas notamment de diminution de ces derniers ;</w:t>
      </w:r>
    </w:p>
    <w:p w:rsidR="007D2C1B" w:rsidRPr="00351F03" w:rsidRDefault="007D2C1B" w:rsidP="00EC585C">
      <w:pPr>
        <w:pStyle w:val="Paragraphedeliste"/>
        <w:numPr>
          <w:ilvl w:val="0"/>
          <w:numId w:val="17"/>
        </w:numPr>
      </w:pPr>
      <w:r>
        <w:t xml:space="preserve">la mauvaise gestion trop fréquente des mutations internes, en particulier du fait de l’absence de remise en ordre des loyers (cf. </w:t>
      </w:r>
      <w:r w:rsidR="00527897">
        <w:t xml:space="preserve">Question &amp; controverse </w:t>
      </w:r>
      <w:r>
        <w:t>sur la CUS).</w:t>
      </w:r>
    </w:p>
    <w:p w:rsidR="007423B5" w:rsidRPr="00527897" w:rsidRDefault="007D2C1B" w:rsidP="00EC585C">
      <w:r>
        <w:t xml:space="preserve">Aucune solution miracle n’existe cependant et, en l’absence d’évaluation sérieuse des pratiques, </w:t>
      </w:r>
      <w:r w:rsidR="00CA2C7C">
        <w:t xml:space="preserve">tout jugement </w:t>
      </w:r>
      <w:r>
        <w:t xml:space="preserve">implique une certaine prudence. </w:t>
      </w:r>
      <w:r w:rsidR="00527897">
        <w:t>L</w:t>
      </w:r>
      <w:r>
        <w:t xml:space="preserve">a </w:t>
      </w:r>
      <w:r w:rsidR="005C03FB">
        <w:t>piste</w:t>
      </w:r>
      <w:r w:rsidR="002F7ECE">
        <w:t xml:space="preserve"> </w:t>
      </w:r>
      <w:r>
        <w:t xml:space="preserve">d’amélioration </w:t>
      </w:r>
      <w:r w:rsidR="00527897">
        <w:t>qui semble</w:t>
      </w:r>
      <w:r w:rsidR="00EC73F1">
        <w:t xml:space="preserve"> la plus </w:t>
      </w:r>
      <w:r w:rsidR="00527897">
        <w:t xml:space="preserve">prometteuse </w:t>
      </w:r>
      <w:r w:rsidR="002F7ECE">
        <w:t xml:space="preserve">renvoie </w:t>
      </w:r>
      <w:r w:rsidR="008849F9">
        <w:t>au</w:t>
      </w:r>
      <w:r w:rsidR="002F7ECE">
        <w:t xml:space="preserve"> modèle de la ville de Rennes, </w:t>
      </w:r>
      <w:r w:rsidR="00527897">
        <w:t xml:space="preserve">c’est-à-dire </w:t>
      </w:r>
      <w:r w:rsidR="002F7ECE">
        <w:t xml:space="preserve">à la généralisation du </w:t>
      </w:r>
      <w:r w:rsidR="002F7ECE" w:rsidRPr="008C57AF">
        <w:rPr>
          <w:i/>
        </w:rPr>
        <w:t>scoring</w:t>
      </w:r>
      <w:r w:rsidR="00527897">
        <w:rPr>
          <w:i/>
        </w:rPr>
        <w:t xml:space="preserve"> </w:t>
      </w:r>
      <w:r w:rsidR="00527897" w:rsidRPr="004B3F6F">
        <w:t xml:space="preserve">(ou </w:t>
      </w:r>
      <w:r w:rsidR="00C72BFF">
        <w:t>c</w:t>
      </w:r>
      <w:r w:rsidR="00527897" w:rsidRPr="004B3F6F">
        <w:t>otation)</w:t>
      </w:r>
      <w:r w:rsidR="002F7ECE">
        <w:t>. Les expérimentations en cours</w:t>
      </w:r>
      <w:r w:rsidR="002F7ECE">
        <w:rPr>
          <w:rStyle w:val="Appelnotedebasdep"/>
        </w:rPr>
        <w:footnoteReference w:id="35"/>
      </w:r>
      <w:r w:rsidR="007423B5">
        <w:t xml:space="preserve"> montrent </w:t>
      </w:r>
      <w:r w:rsidR="007423B5" w:rsidRPr="00527897">
        <w:t>l’intérêt de ce système</w:t>
      </w:r>
      <w:r w:rsidR="00527897">
        <w:t>, à condition que la grille de notation soit évolutive.</w:t>
      </w:r>
    </w:p>
    <w:p w:rsidR="00A54427" w:rsidRPr="004B3F6F" w:rsidRDefault="007423B5" w:rsidP="00EC585C">
      <w:r>
        <w:t xml:space="preserve">Il y a fort à parier </w:t>
      </w:r>
      <w:r w:rsidR="00A54427">
        <w:t xml:space="preserve">que </w:t>
      </w:r>
      <w:r w:rsidR="00680082">
        <w:t>diverses</w:t>
      </w:r>
      <w:r w:rsidR="00A54427">
        <w:t xml:space="preserve"> loi</w:t>
      </w:r>
      <w:r w:rsidR="00680082">
        <w:t>s à venir</w:t>
      </w:r>
      <w:r w:rsidR="00A54427">
        <w:t xml:space="preserve"> comprendr</w:t>
      </w:r>
      <w:r w:rsidR="00680082">
        <w:t>ont</w:t>
      </w:r>
      <w:r w:rsidR="00A54427">
        <w:t xml:space="preserve"> </w:t>
      </w:r>
      <w:r w:rsidR="00680082">
        <w:t xml:space="preserve">leurs </w:t>
      </w:r>
      <w:r w:rsidR="00A54427">
        <w:t>série</w:t>
      </w:r>
      <w:r w:rsidR="00680082">
        <w:t>s</w:t>
      </w:r>
      <w:r w:rsidR="00A54427">
        <w:t xml:space="preserve"> de mesures relatives aux attributions. Car, quoi que l’on fasse, la pénurie de logements </w:t>
      </w:r>
      <w:r w:rsidR="007D2C1B">
        <w:t xml:space="preserve">sur certains marchés </w:t>
      </w:r>
      <w:r w:rsidR="00A54427">
        <w:t>n’évitera jamais un processus à deux vitesses, avec </w:t>
      </w:r>
      <w:r w:rsidR="00A54427" w:rsidRPr="004B3F6F">
        <w:t xml:space="preserve">au premier rang, le logement des prioritaires, en particulier des </w:t>
      </w:r>
      <w:r w:rsidR="00527897" w:rsidRPr="004B3F6F">
        <w:t xml:space="preserve">ménages </w:t>
      </w:r>
      <w:r w:rsidR="00A54427" w:rsidRPr="004B3F6F">
        <w:t>relevant du Dalo</w:t>
      </w:r>
      <w:r w:rsidR="00527897" w:rsidRPr="004B3F6F">
        <w:t xml:space="preserve"> et, </w:t>
      </w:r>
      <w:r w:rsidR="00A54427" w:rsidRPr="004B3F6F">
        <w:t xml:space="preserve">au deuxième rang, les autres attributions </w:t>
      </w:r>
      <w:r w:rsidR="00EA00D4" w:rsidRPr="004B3F6F">
        <w:t xml:space="preserve">sur la base d’un score qui permettrait de réduire le risque </w:t>
      </w:r>
      <w:r w:rsidR="00527897" w:rsidRPr="004B3F6F">
        <w:t xml:space="preserve">d’arbitraire </w:t>
      </w:r>
      <w:r w:rsidR="00EA00D4" w:rsidRPr="004B3F6F">
        <w:t>et de clientélisme.</w:t>
      </w:r>
    </w:p>
    <w:p w:rsidR="00A570CD" w:rsidRPr="00647300" w:rsidRDefault="00680082" w:rsidP="00EC585C">
      <w:r w:rsidRPr="00680082">
        <w:t>Ce</w:t>
      </w:r>
      <w:r w:rsidR="00EA00D4">
        <w:t xml:space="preserve"> </w:t>
      </w:r>
      <w:r w:rsidR="00EA00D4" w:rsidRPr="005C53BF">
        <w:rPr>
          <w:i/>
        </w:rPr>
        <w:t>scoring</w:t>
      </w:r>
      <w:r w:rsidR="00EA00D4">
        <w:t xml:space="preserve"> de la demande, </w:t>
      </w:r>
      <w:r>
        <w:t xml:space="preserve">en tout état de cause, ne </w:t>
      </w:r>
      <w:r w:rsidR="00C840CD">
        <w:t>clôt</w:t>
      </w:r>
      <w:r>
        <w:t xml:space="preserve"> pas le dossier </w:t>
      </w:r>
      <w:r w:rsidR="004D37E9">
        <w:t xml:space="preserve">et ne saurait être à lui seul la solution pour mettre fin aux suspicions dans le domaine des attributions </w:t>
      </w:r>
      <w:r>
        <w:t xml:space="preserve">pour au moins deux raisons. La première tient à la </w:t>
      </w:r>
      <w:r w:rsidR="003C75A3">
        <w:t xml:space="preserve">difficulté de hiérarchiser et/ou de pondérer différentes situations d’urgence (sociale, </w:t>
      </w:r>
      <w:r w:rsidR="008E5ACB">
        <w:t>médicale</w:t>
      </w:r>
      <w:r w:rsidR="003C75A3">
        <w:t>, accès à l’emploi, …). Le c</w:t>
      </w:r>
      <w:r w:rsidR="008E5ACB">
        <w:t xml:space="preserve">adre réglementaire et le </w:t>
      </w:r>
      <w:r w:rsidR="008E5ACB" w:rsidRPr="001E68EF">
        <w:rPr>
          <w:i/>
        </w:rPr>
        <w:t>scor</w:t>
      </w:r>
      <w:r w:rsidR="003C75A3" w:rsidRPr="001E68EF">
        <w:rPr>
          <w:i/>
        </w:rPr>
        <w:t>ing</w:t>
      </w:r>
      <w:r w:rsidR="003C75A3">
        <w:t xml:space="preserve"> n’y suffisent </w:t>
      </w:r>
      <w:r w:rsidR="00A51A5A">
        <w:t>p</w:t>
      </w:r>
      <w:r w:rsidR="003C75A3">
        <w:t xml:space="preserve">as. Il faut </w:t>
      </w:r>
      <w:r w:rsidR="00AE438C">
        <w:t xml:space="preserve">dans de tels cas </w:t>
      </w:r>
      <w:r w:rsidR="003C75A3">
        <w:t xml:space="preserve">que </w:t>
      </w:r>
      <w:r w:rsidR="008E5ACB">
        <w:t>les</w:t>
      </w:r>
      <w:r w:rsidR="003C75A3">
        <w:t xml:space="preserve"> </w:t>
      </w:r>
      <w:r w:rsidR="008E5ACB">
        <w:t>organismes recherchent</w:t>
      </w:r>
      <w:r w:rsidR="003C75A3">
        <w:t xml:space="preserve"> le consensus en </w:t>
      </w:r>
      <w:r w:rsidR="008E5ACB">
        <w:t>r</w:t>
      </w:r>
      <w:r w:rsidR="003C75A3">
        <w:t>espectant deux exigen</w:t>
      </w:r>
      <w:r w:rsidR="008E5ACB">
        <w:t>ce</w:t>
      </w:r>
      <w:r w:rsidR="003C75A3">
        <w:t>s :</w:t>
      </w:r>
      <w:r w:rsidR="00647300">
        <w:t xml:space="preserve"> </w:t>
      </w:r>
      <w:r w:rsidR="008E5ACB" w:rsidRPr="00647300">
        <w:t>d’une part la bo</w:t>
      </w:r>
      <w:r w:rsidR="003C75A3" w:rsidRPr="00647300">
        <w:t>nn</w:t>
      </w:r>
      <w:r w:rsidR="008E5ACB" w:rsidRPr="00647300">
        <w:t>e</w:t>
      </w:r>
      <w:r w:rsidR="003C75A3" w:rsidRPr="00647300">
        <w:t xml:space="preserve"> </w:t>
      </w:r>
      <w:r w:rsidR="008E5ACB" w:rsidRPr="00647300">
        <w:t>ap</w:t>
      </w:r>
      <w:r w:rsidR="003C75A3" w:rsidRPr="00647300">
        <w:t xml:space="preserve">plication de charte d’attribution dont </w:t>
      </w:r>
      <w:r w:rsidR="008E5ACB" w:rsidRPr="00647300">
        <w:t xml:space="preserve">ils </w:t>
      </w:r>
      <w:r w:rsidR="003C75A3" w:rsidRPr="00647300">
        <w:t>doivent se doter et qui</w:t>
      </w:r>
      <w:r w:rsidR="00AE438C" w:rsidRPr="00647300">
        <w:t>,</w:t>
      </w:r>
      <w:r w:rsidR="003C75A3" w:rsidRPr="00647300">
        <w:t xml:space="preserve"> en lien avec le </w:t>
      </w:r>
      <w:r w:rsidR="003C75A3" w:rsidRPr="00647300">
        <w:rPr>
          <w:i/>
        </w:rPr>
        <w:t>scoring</w:t>
      </w:r>
      <w:r w:rsidR="003C75A3" w:rsidRPr="00647300">
        <w:t>, permet de faire une première hiérarchisation ;</w:t>
      </w:r>
      <w:r w:rsidR="00647300">
        <w:t xml:space="preserve"> </w:t>
      </w:r>
      <w:r w:rsidR="008E5ACB" w:rsidRPr="004B3F6F">
        <w:t xml:space="preserve">d’autre part </w:t>
      </w:r>
      <w:r w:rsidR="00AE438C" w:rsidRPr="004B3F6F">
        <w:t>un élargissement des commissions d’attribution permettant à l’ensemble des acteurs concernés de faire entendre leur voi</w:t>
      </w:r>
      <w:r w:rsidR="00030DCA" w:rsidRPr="004B3F6F">
        <w:t>x</w:t>
      </w:r>
      <w:r w:rsidR="008E5ACB" w:rsidRPr="004B3F6F">
        <w:t xml:space="preserve">, </w:t>
      </w:r>
      <w:r w:rsidR="00030DCA" w:rsidRPr="004B3F6F">
        <w:t>une nécessité</w:t>
      </w:r>
      <w:r w:rsidR="00CA2C7C" w:rsidRPr="004B3F6F">
        <w:t xml:space="preserve"> pour donner toute leur légitimité aux attributions.</w:t>
      </w:r>
      <w:r w:rsidR="008E5ACB" w:rsidRPr="004B3F6F">
        <w:t xml:space="preserve"> </w:t>
      </w:r>
      <w:r w:rsidR="00E34111" w:rsidRPr="004B3F6F">
        <w:rPr>
          <w:rFonts w:asciiTheme="majorHAnsi" w:eastAsiaTheme="majorEastAsia" w:hAnsiTheme="majorHAnsi" w:cstheme="majorBidi"/>
          <w:b/>
          <w:bCs/>
          <w:color w:val="365F91" w:themeColor="accent1" w:themeShade="BF"/>
          <w:sz w:val="28"/>
          <w:szCs w:val="28"/>
        </w:rPr>
        <w:t xml:space="preserve"> </w:t>
      </w:r>
    </w:p>
    <w:p w:rsidR="005B20D2" w:rsidRPr="005B20D2" w:rsidRDefault="005B20D2" w:rsidP="00B81DED">
      <w:pPr>
        <w:pStyle w:val="Titre1"/>
        <w:ind w:left="0" w:firstLine="0"/>
      </w:pPr>
      <w:bookmarkStart w:id="9" w:name="_Toc509327209"/>
      <w:r w:rsidRPr="00B93F6B">
        <w:t>Les</w:t>
      </w:r>
      <w:r w:rsidRPr="005B20D2">
        <w:t xml:space="preserve"> </w:t>
      </w:r>
      <w:r w:rsidRPr="00B81DED">
        <w:t>attributions</w:t>
      </w:r>
      <w:r w:rsidRPr="005B20D2">
        <w:t xml:space="preserve"> de logements sociaux comme outil de politique sociale</w:t>
      </w:r>
      <w:bookmarkEnd w:id="9"/>
    </w:p>
    <w:p w:rsidR="005B20D2" w:rsidRPr="005B20D2" w:rsidRDefault="005B20D2" w:rsidP="00EC585C">
      <w:r w:rsidRPr="005B20D2">
        <w:t>La volonté de légiférer autour des attributions de logements sociaux vient appuyer l</w:t>
      </w:r>
      <w:r w:rsidR="003D7642">
        <w:t>a politique</w:t>
      </w:r>
      <w:r w:rsidRPr="005B20D2">
        <w:t xml:space="preserve"> de la ville </w:t>
      </w:r>
      <w:r w:rsidR="003D7642">
        <w:t>dans sa dimension</w:t>
      </w:r>
      <w:r w:rsidRPr="005B20D2">
        <w:t xml:space="preserve"> sociale. L’objectif affiché est de loger les ménages </w:t>
      </w:r>
      <w:r w:rsidR="0077495C">
        <w:t>dont la situation est la</w:t>
      </w:r>
      <w:r w:rsidR="0077495C" w:rsidRPr="005B20D2">
        <w:t xml:space="preserve"> </w:t>
      </w:r>
      <w:r w:rsidRPr="005B20D2">
        <w:t>plus précaire, mais aussi d’agir en faveur de la mixité sociale des quartiers et des villes.</w:t>
      </w:r>
    </w:p>
    <w:p w:rsidR="005B20D2" w:rsidRDefault="0077495C" w:rsidP="00EC585C">
      <w:r>
        <w:t xml:space="preserve">Le respect de ces deux impératifs, censés s’appliquer à l’ensemble du territoire, </w:t>
      </w:r>
      <w:r w:rsidR="00647300">
        <w:t>tient de la</w:t>
      </w:r>
      <w:r>
        <w:t xml:space="preserve"> gageure dans les zones tendues, où l’offre est insuffisante.</w:t>
      </w:r>
    </w:p>
    <w:p w:rsidR="007D2C1B" w:rsidRPr="007D2C1B" w:rsidRDefault="007D2C1B" w:rsidP="00EC585C">
      <w:r>
        <w:lastRenderedPageBreak/>
        <w:t>Ce</w:t>
      </w:r>
      <w:r w:rsidR="00CF2ADA">
        <w:t>tte</w:t>
      </w:r>
      <w:r>
        <w:t xml:space="preserve"> contradiction explique </w:t>
      </w:r>
      <w:r w:rsidR="00CF2ADA">
        <w:t>la plupart des</w:t>
      </w:r>
      <w:r>
        <w:t xml:space="preserve"> difficultés mentionnées plus haut, mais aussi certains freins à la transparence, en particulier lors de la phase d’instruction des dossiers préalable à la présentation en commission d’attribution.</w:t>
      </w:r>
    </w:p>
    <w:p w:rsidR="005B20D2" w:rsidRPr="003D7642" w:rsidRDefault="005B20D2" w:rsidP="00651AC5">
      <w:pPr>
        <w:pStyle w:val="Titre3"/>
      </w:pPr>
      <w:bookmarkStart w:id="10" w:name="_Toc509327119"/>
      <w:bookmarkStart w:id="11" w:name="_Toc509327210"/>
      <w:r w:rsidRPr="003D7642">
        <w:t xml:space="preserve">Le </w:t>
      </w:r>
      <w:r w:rsidR="00F40C20">
        <w:t>D</w:t>
      </w:r>
      <w:r w:rsidRPr="003D7642">
        <w:t>roit au logement opposable (Dalo)</w:t>
      </w:r>
      <w:bookmarkEnd w:id="10"/>
      <w:bookmarkEnd w:id="11"/>
    </w:p>
    <w:p w:rsidR="005B20D2" w:rsidRPr="004E31AE" w:rsidRDefault="005B20D2" w:rsidP="00EC585C">
      <w:r w:rsidRPr="004E31AE">
        <w:t xml:space="preserve">La loi dite « Dalo » de 2007 </w:t>
      </w:r>
      <w:r w:rsidR="003D7642">
        <w:t xml:space="preserve">a </w:t>
      </w:r>
      <w:r w:rsidRPr="004E31AE">
        <w:t>instaur</w:t>
      </w:r>
      <w:r w:rsidR="003D7642">
        <w:t>é</w:t>
      </w:r>
      <w:r w:rsidRPr="004E31AE">
        <w:t xml:space="preserve"> le </w:t>
      </w:r>
      <w:r w:rsidR="00F40C20">
        <w:t>D</w:t>
      </w:r>
      <w:r w:rsidRPr="004E31AE">
        <w:t>roit au logement opposable</w:t>
      </w:r>
      <w:r w:rsidR="003D7642">
        <w:rPr>
          <w:rStyle w:val="Appelnotedebasdep"/>
        </w:rPr>
        <w:footnoteReference w:id="36"/>
      </w:r>
      <w:r w:rsidRPr="004E31AE">
        <w:t xml:space="preserve">. Sa mise en œuvre étant difficile </w:t>
      </w:r>
      <w:r w:rsidR="00CF2ADA">
        <w:t>dans</w:t>
      </w:r>
      <w:r w:rsidR="00CF2ADA" w:rsidRPr="004E31AE">
        <w:t xml:space="preserve"> </w:t>
      </w:r>
      <w:r w:rsidRPr="004E31AE">
        <w:t>certains territoires, le Dalo a été retravaillé dans des lois plus récentes pour pa</w:t>
      </w:r>
      <w:r w:rsidR="00F40C20">
        <w:t>l</w:t>
      </w:r>
      <w:r w:rsidRPr="004E31AE">
        <w:t>lier certains manques. Si la loi Alur intervient pour davantage protéger les locataires du parc privé</w:t>
      </w:r>
      <w:r w:rsidR="00C667B7">
        <w:t xml:space="preserve"> éligibles au Dalo</w:t>
      </w:r>
      <w:r w:rsidRPr="004E31AE">
        <w:t xml:space="preserve"> et favoriser </w:t>
      </w:r>
      <w:r w:rsidR="00CF2ADA">
        <w:t>l’accès à</w:t>
      </w:r>
      <w:r w:rsidRPr="004E31AE">
        <w:t xml:space="preserve"> </w:t>
      </w:r>
      <w:r w:rsidR="00CF2ADA">
        <w:t>l</w:t>
      </w:r>
      <w:r w:rsidR="00CF2ADA" w:rsidRPr="004E31AE">
        <w:t xml:space="preserve">’hébergement </w:t>
      </w:r>
      <w:r w:rsidRPr="004E31AE">
        <w:t>pour ces publics, la loi Égalité &amp; Citoyenneté inscrit les attributions de logement</w:t>
      </w:r>
      <w:r w:rsidR="00F40C20">
        <w:t>s</w:t>
      </w:r>
      <w:r w:rsidRPr="004E31AE">
        <w:t xml:space="preserve"> sociaux dans un cadre plus large, comprenant à la fois des volets de droit au logement et de mixité sociale. </w:t>
      </w:r>
      <w:r w:rsidR="00CF2ADA">
        <w:t>Elle fait obligation aux</w:t>
      </w:r>
      <w:r w:rsidRPr="004E31AE">
        <w:t xml:space="preserve"> réservataires</w:t>
      </w:r>
      <w:r w:rsidR="00647300">
        <w:t>,</w:t>
      </w:r>
      <w:r w:rsidRPr="004E31AE">
        <w:t xml:space="preserve"> tels que les collectivités territoriales ou Action Logement</w:t>
      </w:r>
      <w:r w:rsidR="00647300">
        <w:t>,</w:t>
      </w:r>
      <w:r w:rsidRPr="004E31AE">
        <w:t xml:space="preserve"> </w:t>
      </w:r>
      <w:r w:rsidR="00CF2ADA">
        <w:t>de</w:t>
      </w:r>
      <w:r w:rsidR="00CF2ADA" w:rsidRPr="004E31AE">
        <w:t xml:space="preserve"> </w:t>
      </w:r>
      <w:r w:rsidRPr="004E31AE">
        <w:t xml:space="preserve">consacrer 25% de leurs attributions </w:t>
      </w:r>
      <w:r w:rsidR="00A3698B">
        <w:t>à des</w:t>
      </w:r>
      <w:r w:rsidRPr="004E31AE">
        <w:t xml:space="preserve"> ménages reconnus prioritaires au titre du Dalo ou</w:t>
      </w:r>
      <w:r w:rsidR="00241138">
        <w:t>,</w:t>
      </w:r>
      <w:r w:rsidRPr="004E31AE">
        <w:t xml:space="preserve"> à défaut, aux personnes définies comme prioritaires (au sens de l’article L.441-1 du CCH). </w:t>
      </w:r>
      <w:r w:rsidR="00CF2ADA">
        <w:t>Elle</w:t>
      </w:r>
      <w:r w:rsidRPr="004E31AE">
        <w:t xml:space="preserve"> permet au préfet de se substituer aux réservataires en cas de manquement à ces obligations. </w:t>
      </w:r>
    </w:p>
    <w:p w:rsidR="005B20D2" w:rsidRPr="00D46D4B" w:rsidRDefault="005B20D2" w:rsidP="00651AC5">
      <w:pPr>
        <w:pStyle w:val="Titre3"/>
      </w:pPr>
      <w:bookmarkStart w:id="12" w:name="_Toc509327120"/>
      <w:bookmarkStart w:id="13" w:name="_Toc509327211"/>
      <w:r w:rsidRPr="00D46D4B">
        <w:t>Les intercommunalités sollicitées pour la gestion des attributions à défaut des communes</w:t>
      </w:r>
      <w:bookmarkEnd w:id="12"/>
      <w:bookmarkEnd w:id="13"/>
    </w:p>
    <w:p w:rsidR="005B20D2" w:rsidRPr="004E31AE" w:rsidRDefault="005B20D2" w:rsidP="00EC585C">
      <w:r w:rsidRPr="004E31AE">
        <w:t xml:space="preserve">La politique de l’habitat relève de plus en plus de la compétence des intercommunalités, il en va de même des attributions de logements sociaux. La gestion des demandes est ainsi remontée au niveau de l’intercommunalité dans les décrets d’application de la loi Alur. La gestion des attributions devra s’examiner dorénavant à l’échelle intercommunale depuis la loi Égalité &amp; Citoyenneté (politique intercommunale d’attribution). </w:t>
      </w:r>
      <w:r w:rsidR="00CA2C7C">
        <w:t xml:space="preserve">C’est un point essentiel. </w:t>
      </w:r>
      <w:r w:rsidRPr="004E31AE">
        <w:t xml:space="preserve">Cette loi incite les intercommunalités à </w:t>
      </w:r>
      <w:r w:rsidR="00A51A5A">
        <w:t xml:space="preserve">utiliser </w:t>
      </w:r>
      <w:r w:rsidRPr="004E31AE">
        <w:t xml:space="preserve">au mieux les outils mis en place par la loi Alur : création de la conférence intercommunale du logement avec l’ensemble des partenaires, élaboration d’un plan partenarial de gestion de la demande et d’information des demandeurs et conclusion d’un accord collectif intercommunal d’attribution. </w:t>
      </w:r>
      <w:r w:rsidR="00324D34">
        <w:t>Le</w:t>
      </w:r>
      <w:r w:rsidRPr="004E31AE">
        <w:t xml:space="preserve"> plan de gestion de la demande et d’information des demandeurs définit les orientations destinées à assurer la gestion partagée des demandes de logement social et à satisfaire le droit à l’information, les modalités de qualification et de cartographie de l’offre de logements sociaux, le délai maximal dans lequel tout demandeur qui le souhaite doit être reçu après l’enregistrement de sa demande et les modalités d’organisation et de fonctionnement du service d’information et d’accueil des demandeurs.</w:t>
      </w:r>
    </w:p>
    <w:p w:rsidR="005B20D2" w:rsidRPr="004E31AE" w:rsidRDefault="005B20D2" w:rsidP="00EC585C">
      <w:r w:rsidRPr="004E31AE">
        <w:t xml:space="preserve">Par le développement de dispositifs </w:t>
      </w:r>
      <w:r w:rsidR="00F40C20">
        <w:t xml:space="preserve">mis en œuvre </w:t>
      </w:r>
      <w:r w:rsidRPr="004E31AE">
        <w:t xml:space="preserve">à l’échelle de l’intercommunalité, le rôle de la commune dans les attributions de logements, parfois décrié, se retrouve </w:t>
      </w:r>
      <w:r w:rsidR="00324D34">
        <w:t>considérablement</w:t>
      </w:r>
      <w:r w:rsidR="00324D34" w:rsidRPr="004E31AE">
        <w:t xml:space="preserve"> </w:t>
      </w:r>
      <w:r w:rsidRPr="004E31AE">
        <w:t xml:space="preserve">réduit. </w:t>
      </w:r>
      <w:r w:rsidR="00C667B7">
        <w:t>Le temps dira ce qu’il faut penser de ce dispositif</w:t>
      </w:r>
      <w:r w:rsidR="00324D34">
        <w:t>,</w:t>
      </w:r>
      <w:r w:rsidR="00C667B7">
        <w:t xml:space="preserve"> en particulier pour l’Île-de-France où la notion </w:t>
      </w:r>
      <w:r w:rsidR="00C667B7">
        <w:lastRenderedPageBreak/>
        <w:t xml:space="preserve">d’intercommunalité </w:t>
      </w:r>
      <w:r w:rsidR="00EC73F1">
        <w:t>peine à trouver</w:t>
      </w:r>
      <w:r w:rsidR="00C667B7">
        <w:t xml:space="preserve"> un </w:t>
      </w:r>
      <w:r w:rsidR="00EC73F1">
        <w:t>contenu</w:t>
      </w:r>
      <w:r w:rsidR="00C667B7">
        <w:t xml:space="preserve"> réel. </w:t>
      </w:r>
      <w:r w:rsidRPr="004E31AE">
        <w:t xml:space="preserve">Par ailleurs, la loi Égalité &amp; Citoyenneté interdit, en abordant les critères d’attribution des logements, la préférence communale comme motif exclusif de non-attribution. Ce fait était identifié notamment comme un frein à la mobilité dans le parc </w:t>
      </w:r>
      <w:r w:rsidR="00A853DF">
        <w:t>HLM</w:t>
      </w:r>
      <w:r w:rsidRPr="004E31AE">
        <w:t>.</w:t>
      </w:r>
    </w:p>
    <w:p w:rsidR="005B20D2" w:rsidRPr="004E31AE" w:rsidRDefault="00D46D4B" w:rsidP="00EC585C">
      <w:r w:rsidRPr="004E31AE">
        <w:t>À</w:t>
      </w:r>
      <w:r w:rsidR="005B20D2" w:rsidRPr="004E31AE">
        <w:t xml:space="preserve"> côté de l’intercommunalité, l’</w:t>
      </w:r>
      <w:r w:rsidRPr="004E31AE">
        <w:t>État</w:t>
      </w:r>
      <w:r w:rsidR="005B20D2" w:rsidRPr="004E31AE">
        <w:t xml:space="preserve"> conserve</w:t>
      </w:r>
      <w:r w:rsidR="00A853DF">
        <w:t>,</w:t>
      </w:r>
      <w:r w:rsidR="005B20D2" w:rsidRPr="004E31AE">
        <w:t xml:space="preserve"> et même accentue</w:t>
      </w:r>
      <w:r w:rsidR="00A853DF">
        <w:t>,</w:t>
      </w:r>
      <w:r w:rsidR="005B20D2" w:rsidRPr="004E31AE">
        <w:t xml:space="preserve"> son rôle de garant du droit au logement, le Préfet pouvant imposer des attributions pour des ménages Dalo. De plus, la possibilité de déléguer le contingent de logements réservés de l’État aux maires ou aux présidents des EPCI est supprimée par la loi </w:t>
      </w:r>
      <w:r w:rsidR="00C840CD">
        <w:t>« </w:t>
      </w:r>
      <w:r w:rsidR="005B20D2" w:rsidRPr="004E31AE">
        <w:t>Égalité &amp; Citoyenneté</w:t>
      </w:r>
      <w:r w:rsidR="00C840CD">
        <w:t> »</w:t>
      </w:r>
      <w:r w:rsidR="005B20D2" w:rsidRPr="004E31AE">
        <w:t>. Enfin, le préfet est devenu membre de droit, avec voix délibérative, des</w:t>
      </w:r>
      <w:r w:rsidR="00F40C20">
        <w:t xml:space="preserve"> Commissions d’attribution des logements</w:t>
      </w:r>
      <w:r w:rsidR="005B20D2" w:rsidRPr="004E31AE">
        <w:t>.</w:t>
      </w:r>
      <w:r w:rsidR="00CA2C7C">
        <w:t xml:space="preserve"> </w:t>
      </w:r>
      <w:r w:rsidR="00324D34">
        <w:t>Toutefois</w:t>
      </w:r>
      <w:r w:rsidR="00CA2C7C">
        <w:t xml:space="preserve">, malgré les avancées très réelles, un besoin de clarification subsiste. Il faut espérer que la future loi logement (ELAN) apportera des précisions en particulier pour l’Ile-de-France et </w:t>
      </w:r>
      <w:r w:rsidR="00E36D2A">
        <w:t>les grandes métropoles</w:t>
      </w:r>
      <w:r w:rsidR="00CA2C7C">
        <w:t>.</w:t>
      </w:r>
    </w:p>
    <w:p w:rsidR="005B20D2" w:rsidRPr="00D46D4B" w:rsidRDefault="005B20D2" w:rsidP="00651AC5">
      <w:pPr>
        <w:pStyle w:val="Titre3"/>
      </w:pPr>
      <w:bookmarkStart w:id="14" w:name="_Toc509327121"/>
      <w:bookmarkStart w:id="15" w:name="_Toc509327212"/>
      <w:r w:rsidRPr="00D46D4B">
        <w:t>L’objectif de mixité sociale</w:t>
      </w:r>
      <w:bookmarkEnd w:id="14"/>
      <w:bookmarkEnd w:id="15"/>
    </w:p>
    <w:p w:rsidR="005B20D2" w:rsidRPr="004E31AE" w:rsidRDefault="005B20D2" w:rsidP="00EC585C">
      <w:r w:rsidRPr="004E31AE">
        <w:t>L’analyse des attributions à l’échelle des intercommunalités vise aussi à mieux assurer la mixité sociale. De fait, on constate aujourd’hui que les pratiques se traduisent par une tendance constante à accroître la proportion de ménages à faibles revenus dans les quartiers qui en comportent déjà une proportion importante.</w:t>
      </w:r>
    </w:p>
    <w:p w:rsidR="005B20D2" w:rsidRPr="004E31AE" w:rsidRDefault="00C840CD" w:rsidP="00EC585C">
      <w:r>
        <w:t>C’est pourquoi l</w:t>
      </w:r>
      <w:r w:rsidR="005B20D2" w:rsidRPr="004E31AE">
        <w:t xml:space="preserve">a réunion interministérielle du 6 mars 2015 </w:t>
      </w:r>
      <w:r>
        <w:t>avait prévu</w:t>
      </w:r>
      <w:r w:rsidR="00BF6021">
        <w:rPr>
          <w:rStyle w:val="Appelnotedebasdep"/>
        </w:rPr>
        <w:footnoteReference w:id="37"/>
      </w:r>
      <w:r w:rsidR="00241138">
        <w:t xml:space="preserve"> </w:t>
      </w:r>
      <w:r w:rsidR="005B20D2" w:rsidRPr="004E31AE">
        <w:t xml:space="preserve">que </w:t>
      </w:r>
      <w:r>
        <w:t>« </w:t>
      </w:r>
      <w:r w:rsidR="005B20D2" w:rsidRPr="004E31AE">
        <w:t>les personnes dont les ressources se situent au-dessous du seuil de bas revenus, notamment celles dont le logement relève des préfectures au titre du Dalo (droit au logement opposable), ne devront plus être logées dans les 1</w:t>
      </w:r>
      <w:r>
        <w:t> </w:t>
      </w:r>
      <w:r w:rsidR="005B20D2" w:rsidRPr="004E31AE">
        <w:t>500</w:t>
      </w:r>
      <w:r>
        <w:t xml:space="preserve"> </w:t>
      </w:r>
      <w:r w:rsidR="005B20D2" w:rsidRPr="004E31AE">
        <w:t xml:space="preserve">quartiers prioritaires de la politique de la </w:t>
      </w:r>
      <w:r w:rsidR="002E5CF2">
        <w:t>v</w:t>
      </w:r>
      <w:r w:rsidR="005B20D2" w:rsidRPr="004E31AE">
        <w:t>ille</w:t>
      </w:r>
      <w:r w:rsidR="006A3D85">
        <w:rPr>
          <w:rStyle w:val="Appelnotedebasdep"/>
        </w:rPr>
        <w:footnoteReference w:id="38"/>
      </w:r>
      <w:r w:rsidR="005B20D2" w:rsidRPr="004E31AE">
        <w:t>. Des solutions alternatives de logement devront être prioritairement trouvées hors de ces quartiers</w:t>
      </w:r>
      <w:r>
        <w:t> »</w:t>
      </w:r>
      <w:r w:rsidR="005B20D2" w:rsidRPr="004E31AE">
        <w:t>.</w:t>
      </w:r>
    </w:p>
    <w:p w:rsidR="005B20D2" w:rsidRDefault="005B20D2" w:rsidP="00EC585C">
      <w:r w:rsidRPr="004E31AE">
        <w:t>Cette mesure</w:t>
      </w:r>
      <w:r w:rsidR="002E5CF2">
        <w:t>,</w:t>
      </w:r>
      <w:r w:rsidRPr="004E31AE">
        <w:t xml:space="preserve"> telle quelle</w:t>
      </w:r>
      <w:r w:rsidR="002E5CF2">
        <w:t>,</w:t>
      </w:r>
      <w:r w:rsidRPr="004E31AE">
        <w:t xml:space="preserve"> </w:t>
      </w:r>
      <w:r w:rsidR="0029386F">
        <w:t>n’a</w:t>
      </w:r>
      <w:r w:rsidRPr="004E31AE">
        <w:t xml:space="preserve"> pas </w:t>
      </w:r>
      <w:r w:rsidR="0029386F">
        <w:t xml:space="preserve">été </w:t>
      </w:r>
      <w:r w:rsidRPr="004E31AE">
        <w:t xml:space="preserve">retenue </w:t>
      </w:r>
      <w:r w:rsidR="00A51A5A">
        <w:t>par </w:t>
      </w:r>
      <w:r w:rsidRPr="004E31AE">
        <w:t>a loi Égalité &amp; Citoyenneté</w:t>
      </w:r>
      <w:r w:rsidR="0029386F">
        <w:t xml:space="preserve">. Cependant, </w:t>
      </w:r>
      <w:r w:rsidRPr="004E31AE">
        <w:t>une des mesures phare</w:t>
      </w:r>
      <w:r w:rsidR="007D4BA2">
        <w:t>s</w:t>
      </w:r>
      <w:r w:rsidRPr="004E31AE">
        <w:t xml:space="preserve"> du volet Logement de la loi consiste à imposer aux bailleurs de consacrer annuellement au moins 25% des attributions annuelles hors QPV (Quartiers prioritaires de la ville) à des demandeurs du premier quartile </w:t>
      </w:r>
      <w:r w:rsidR="007D4BA2">
        <w:t xml:space="preserve">de revenus </w:t>
      </w:r>
      <w:r w:rsidRPr="004E31AE">
        <w:t>ou à des ménages relogés dans le cadre d’opérations de renouvellement urbain</w:t>
      </w:r>
      <w:r w:rsidR="00087104">
        <w:rPr>
          <w:rStyle w:val="Appelnotedebasdep"/>
        </w:rPr>
        <w:footnoteReference w:id="39"/>
      </w:r>
      <w:r w:rsidRPr="004E31AE">
        <w:t>. L’échelle territoriale de cette mesure est l’intercommunalité, plus exactement les EPCI tenus de faire un PLH ou ayant au moins un QPV dans leur périmètre</w:t>
      </w:r>
      <w:r w:rsidR="0029386F">
        <w:t xml:space="preserve"> (</w:t>
      </w:r>
      <w:r w:rsidR="002E5CF2">
        <w:t>cf.</w:t>
      </w:r>
      <w:r w:rsidR="0029386F">
        <w:t xml:space="preserve"> annexe 6)</w:t>
      </w:r>
      <w:r w:rsidRPr="004E31AE">
        <w:t>.</w:t>
      </w:r>
      <w:r w:rsidR="00CA2C7C">
        <w:t xml:space="preserve"> </w:t>
      </w:r>
      <w:r w:rsidR="00087104">
        <w:t>Au final, e</w:t>
      </w:r>
      <w:r w:rsidR="00CA2C7C">
        <w:t xml:space="preserve">n </w:t>
      </w:r>
      <w:r w:rsidR="00087104">
        <w:t>conformité</w:t>
      </w:r>
      <w:r w:rsidR="00CA2C7C">
        <w:t xml:space="preserve"> avec le texte de la loi</w:t>
      </w:r>
      <w:r w:rsidR="00087104">
        <w:t xml:space="preserve">, l’objectif de mixité doit s’entendre comme « permettant l’accès à l’ensemble des secteurs du territoire de toutes les catégories de public éligible au parc social et en </w:t>
      </w:r>
      <w:r w:rsidR="00E22D97">
        <w:t>favorisant</w:t>
      </w:r>
      <w:r w:rsidR="00087104">
        <w:t xml:space="preserve"> l’accès des ménages dont les revenus sont les plus faibles </w:t>
      </w:r>
      <w:r w:rsidR="00FF5CA5">
        <w:t>aux secteurs situés en dehors des quartiers prioritaires de la politique de la ville »</w:t>
      </w:r>
      <w:r w:rsidR="00FF5CA5">
        <w:rPr>
          <w:rStyle w:val="Appelnotedebasdep"/>
        </w:rPr>
        <w:footnoteReference w:id="40"/>
      </w:r>
      <w:r w:rsidR="00FF5CA5">
        <w:t>.</w:t>
      </w:r>
    </w:p>
    <w:p w:rsidR="00572A89" w:rsidRPr="004E31AE" w:rsidRDefault="00572A89" w:rsidP="00EC585C">
      <w:r>
        <w:t>Pour autant, dans les faits, cette volonté de mixité se heurte aussi aux comportements de certains ménages qui ne se privent pas de refuser les offres</w:t>
      </w:r>
      <w:r w:rsidR="00647300">
        <w:t>,</w:t>
      </w:r>
      <w:r>
        <w:t xml:space="preserve"> notamment lorsqu’il s’agit de logements situés dans des groupes</w:t>
      </w:r>
      <w:r w:rsidR="00647300">
        <w:t xml:space="preserve"> immobiliers</w:t>
      </w:r>
      <w:r>
        <w:t xml:space="preserve"> ou des quartiers peu attrayants. </w:t>
      </w:r>
    </w:p>
    <w:p w:rsidR="003046E6" w:rsidRPr="003046E6" w:rsidRDefault="003046E6" w:rsidP="00EC585C">
      <w:r w:rsidRPr="003046E6">
        <w:t>Alors que le débat fait rage sur le nombre de demandeurs de logements sociaux, qui n’a jamais été aussi élevé</w:t>
      </w:r>
      <w:r w:rsidRPr="003046E6">
        <w:rPr>
          <w:vertAlign w:val="superscript"/>
        </w:rPr>
        <w:footnoteReference w:id="41"/>
      </w:r>
      <w:r w:rsidR="00647300">
        <w:t>,</w:t>
      </w:r>
      <w:r w:rsidRPr="003046E6">
        <w:t xml:space="preserve"> et sur le nécessaire renforcement de la transparence</w:t>
      </w:r>
      <w:r w:rsidR="00647300">
        <w:t xml:space="preserve"> des attributions</w:t>
      </w:r>
      <w:r w:rsidRPr="003046E6">
        <w:t>, on observe un nombre considérable et croissant de refus des ménages demandeurs (qu’il s’agisse de mutation</w:t>
      </w:r>
      <w:r w:rsidRPr="003046E6">
        <w:rPr>
          <w:vertAlign w:val="superscript"/>
        </w:rPr>
        <w:footnoteReference w:id="42"/>
      </w:r>
      <w:r w:rsidRPr="003046E6">
        <w:t xml:space="preserve"> ou non) des propositions qui </w:t>
      </w:r>
      <w:r w:rsidR="00647300">
        <w:t>leur</w:t>
      </w:r>
      <w:r w:rsidR="00647300" w:rsidRPr="003046E6">
        <w:t xml:space="preserve"> </w:t>
      </w:r>
      <w:r w:rsidRPr="003046E6">
        <w:t xml:space="preserve">sont faites par les organismes. Un tel paradoxe mérite d’autant plus </w:t>
      </w:r>
      <w:r w:rsidRPr="003046E6">
        <w:lastRenderedPageBreak/>
        <w:t>d’être souligné qu’il engendre des coûts administratifs considérables</w:t>
      </w:r>
      <w:r w:rsidR="00FC54DF">
        <w:t xml:space="preserve">. </w:t>
      </w:r>
      <w:r w:rsidR="00647300">
        <w:t>L’embarras</w:t>
      </w:r>
      <w:r w:rsidRPr="003046E6">
        <w:t xml:space="preserve">, face à de telles situations se trouve d’ailleurs parfaitement décrit dans un article du </w:t>
      </w:r>
      <w:r w:rsidRPr="003046E6">
        <w:rPr>
          <w:i/>
        </w:rPr>
        <w:t>Monde</w:t>
      </w:r>
      <w:r w:rsidRPr="003046E6">
        <w:t xml:space="preserve"> de 2006</w:t>
      </w:r>
      <w:r w:rsidRPr="003046E6">
        <w:rPr>
          <w:vertAlign w:val="superscript"/>
        </w:rPr>
        <w:footnoteReference w:id="43"/>
      </w:r>
      <w:r w:rsidRPr="003046E6">
        <w:t xml:space="preserve">, qui confirme à la fois la grande variété de motifs de refus et </w:t>
      </w:r>
      <w:r w:rsidR="00647300">
        <w:t>la</w:t>
      </w:r>
      <w:r w:rsidRPr="003046E6">
        <w:t xml:space="preserve"> prépondéran</w:t>
      </w:r>
      <w:r w:rsidR="00647300">
        <w:t>ce</w:t>
      </w:r>
      <w:r w:rsidRPr="003046E6">
        <w:t xml:space="preserve"> du facteur localisation.</w:t>
      </w:r>
    </w:p>
    <w:p w:rsidR="003046E6" w:rsidRPr="003046E6" w:rsidRDefault="003046E6" w:rsidP="00EC585C">
      <w:r w:rsidRPr="003046E6">
        <w:t>Une étude de 2012 réalisée par l’USH</w:t>
      </w:r>
      <w:r w:rsidRPr="003046E6">
        <w:rPr>
          <w:vertAlign w:val="superscript"/>
        </w:rPr>
        <w:footnoteReference w:id="44"/>
      </w:r>
      <w:r w:rsidRPr="003046E6">
        <w:t>, avec la collaboration de six organismes</w:t>
      </w:r>
      <w:r w:rsidR="00647300">
        <w:t>,</w:t>
      </w:r>
      <w:r w:rsidRPr="003046E6">
        <w:t xml:space="preserve"> </w:t>
      </w:r>
      <w:r w:rsidR="00647300">
        <w:t>portant sur</w:t>
      </w:r>
      <w:r w:rsidR="00647300" w:rsidRPr="003046E6">
        <w:t xml:space="preserve"> </w:t>
      </w:r>
      <w:r w:rsidRPr="003046E6">
        <w:t>plus de 15 000 refus et presque autant de ménages (12 000), montre en effet que :</w:t>
      </w:r>
    </w:p>
    <w:p w:rsidR="003046E6" w:rsidRPr="003046E6" w:rsidRDefault="003046E6" w:rsidP="00EC585C">
      <w:pPr>
        <w:pStyle w:val="Paragraphedeliste"/>
        <w:numPr>
          <w:ilvl w:val="0"/>
          <w:numId w:val="26"/>
        </w:numPr>
      </w:pPr>
      <w:r w:rsidRPr="003046E6">
        <w:t xml:space="preserve">le taux de refus est globalement le même pour les demandeurs externes et pour les demandes </w:t>
      </w:r>
      <w:r w:rsidR="00647300">
        <w:t>de</w:t>
      </w:r>
      <w:r w:rsidR="00647300" w:rsidRPr="003046E6">
        <w:t xml:space="preserve"> </w:t>
      </w:r>
      <w:r w:rsidRPr="003046E6">
        <w:t>mutation</w:t>
      </w:r>
      <w:r w:rsidR="00647300">
        <w:t xml:space="preserve"> à l’intérieur du par social</w:t>
      </w:r>
      <w:r w:rsidRPr="003046E6">
        <w:t> ;</w:t>
      </w:r>
    </w:p>
    <w:p w:rsidR="003046E6" w:rsidRPr="003046E6" w:rsidRDefault="003046E6" w:rsidP="00EC585C">
      <w:pPr>
        <w:pStyle w:val="Paragraphedeliste"/>
        <w:numPr>
          <w:ilvl w:val="0"/>
          <w:numId w:val="26"/>
        </w:numPr>
      </w:pPr>
      <w:r w:rsidRPr="003046E6">
        <w:t>les refus</w:t>
      </w:r>
      <w:r w:rsidR="00F248B6">
        <w:t xml:space="preserve"> émanent</w:t>
      </w:r>
      <w:r w:rsidRPr="003046E6">
        <w:t xml:space="preserve"> </w:t>
      </w:r>
      <w:r w:rsidR="00F248B6">
        <w:t>surtout de ménages</w:t>
      </w:r>
      <w:r w:rsidRPr="003046E6">
        <w:t xml:space="preserve"> </w:t>
      </w:r>
      <w:r w:rsidR="00F248B6">
        <w:t>dont la</w:t>
      </w:r>
      <w:r w:rsidR="00F248B6" w:rsidRPr="003046E6">
        <w:t xml:space="preserve"> </w:t>
      </w:r>
      <w:r w:rsidRPr="003046E6">
        <w:t xml:space="preserve">situation économique </w:t>
      </w:r>
      <w:r w:rsidR="00F248B6">
        <w:t xml:space="preserve">est </w:t>
      </w:r>
      <w:r w:rsidRPr="003046E6">
        <w:t>plus favorable que celle des emménagés récents dans le parc social </w:t>
      </w:r>
      <w:r w:rsidR="00F248B6">
        <w:t xml:space="preserve">et qui </w:t>
      </w:r>
      <w:r w:rsidRPr="003046E6">
        <w:t>ont dans une très forte majorité déjà un logement autonome au moment de la demande ;</w:t>
      </w:r>
    </w:p>
    <w:p w:rsidR="003046E6" w:rsidRPr="003046E6" w:rsidRDefault="003046E6" w:rsidP="00EC585C">
      <w:pPr>
        <w:pStyle w:val="Paragraphedeliste"/>
        <w:numPr>
          <w:ilvl w:val="0"/>
          <w:numId w:val="26"/>
        </w:numPr>
      </w:pPr>
      <w:r w:rsidRPr="003046E6">
        <w:t xml:space="preserve">le nombre de refus par ménage et/ou par logement </w:t>
      </w:r>
      <w:r w:rsidR="00F248B6">
        <w:t>est</w:t>
      </w:r>
      <w:r w:rsidR="00F248B6" w:rsidRPr="003046E6">
        <w:t xml:space="preserve"> </w:t>
      </w:r>
      <w:r w:rsidRPr="003046E6">
        <w:t xml:space="preserve">d’autant </w:t>
      </w:r>
      <w:r w:rsidR="00F248B6">
        <w:t xml:space="preserve">plus </w:t>
      </w:r>
      <w:r w:rsidR="00FC54DF">
        <w:t xml:space="preserve">élevé </w:t>
      </w:r>
      <w:r w:rsidRPr="003046E6">
        <w:t xml:space="preserve">que le marché </w:t>
      </w:r>
      <w:r w:rsidR="00F248B6">
        <w:t xml:space="preserve">locatif </w:t>
      </w:r>
      <w:r w:rsidRPr="003046E6">
        <w:t xml:space="preserve">est </w:t>
      </w:r>
      <w:r w:rsidR="00F248B6">
        <w:t xml:space="preserve">plus </w:t>
      </w:r>
      <w:r w:rsidRPr="003046E6">
        <w:t>détendu</w:t>
      </w:r>
      <w:r w:rsidR="00F248B6">
        <w:t>,</w:t>
      </w:r>
      <w:r w:rsidRPr="003046E6">
        <w:t xml:space="preserve"> mais « cet effet </w:t>
      </w:r>
      <w:r w:rsidR="00FC54DF">
        <w:t>"</w:t>
      </w:r>
      <w:r w:rsidRPr="003046E6">
        <w:t>marché</w:t>
      </w:r>
      <w:r w:rsidR="00FC54DF">
        <w:t>"</w:t>
      </w:r>
      <w:r w:rsidRPr="003046E6">
        <w:t xml:space="preserve"> ne doit pas occulter l’existence et le renforcement des refus : dans des territoires tendus, sur des produits neufs, pour des ménages connaissant de réelles difficultés financières et/ou des conditions de logement objectivement insatisfaisantes »</w:t>
      </w:r>
      <w:r w:rsidRPr="003046E6">
        <w:rPr>
          <w:vertAlign w:val="superscript"/>
        </w:rPr>
        <w:footnoteReference w:id="45"/>
      </w:r>
      <w:r w:rsidRPr="003046E6">
        <w:t>.</w:t>
      </w:r>
    </w:p>
    <w:p w:rsidR="003046E6" w:rsidRPr="003046E6" w:rsidRDefault="003046E6" w:rsidP="00EC585C">
      <w:r w:rsidRPr="003046E6">
        <w:t>Alors que la taille du logement apparaît pour près de 50% des demandeurs comme l’élément central (logement trop grand ou trop petit), qui motive la demande</w:t>
      </w:r>
      <w:r w:rsidRPr="003046E6">
        <w:rPr>
          <w:vertAlign w:val="superscript"/>
        </w:rPr>
        <w:footnoteReference w:id="46"/>
      </w:r>
      <w:r w:rsidRPr="003046E6">
        <w:t xml:space="preserve">, les </w:t>
      </w:r>
      <w:r w:rsidR="00F248B6">
        <w:t>« </w:t>
      </w:r>
      <w:r w:rsidRPr="003046E6">
        <w:t>refusants</w:t>
      </w:r>
      <w:r w:rsidR="00F248B6">
        <w:t> »</w:t>
      </w:r>
      <w:r w:rsidRPr="003046E6">
        <w:t xml:space="preserve"> s’inscrivent clairement dans le temps long subi afin </w:t>
      </w:r>
      <w:r w:rsidR="00F248B6">
        <w:t>d’optimiser</w:t>
      </w:r>
      <w:r w:rsidRPr="003046E6">
        <w:t xml:space="preserve"> leur choix. L’objectif, en particulier sur les marchés les moins tendus, est « un appartement ou une maison dans telle rue »</w:t>
      </w:r>
      <w:r w:rsidRPr="003046E6">
        <w:rPr>
          <w:vertAlign w:val="superscript"/>
        </w:rPr>
        <w:footnoteReference w:id="47"/>
      </w:r>
      <w:r w:rsidRPr="003046E6">
        <w:t>. L’étude note que « pour autant, cette logique d’opportunité n’est pas exclusive des territoires au marché détendu... Ces logiques et stratégies sont d’autant plus facilitées que les ménages bénéficient d’une situation stable »</w:t>
      </w:r>
      <w:r w:rsidRPr="003046E6">
        <w:rPr>
          <w:vertAlign w:val="superscript"/>
        </w:rPr>
        <w:footnoteReference w:id="48"/>
      </w:r>
      <w:r w:rsidRPr="003046E6">
        <w:t>. L’attente ne conduit donc pas, pour beaucoup, à un abaissement du seuil des exigences. Dans le même temps, le refus ne s’explique pas par un décalage entre les attentes et les caractéristiques physiques du logement proposé. Ces dernières sont globalement en adéquation avec les souhaits exprimés (exception faite de la présence ou non d’un ascenseur)</w:t>
      </w:r>
      <w:r w:rsidRPr="003046E6">
        <w:rPr>
          <w:vertAlign w:val="superscript"/>
        </w:rPr>
        <w:footnoteReference w:id="49"/>
      </w:r>
      <w:r w:rsidRPr="003046E6">
        <w:t>. « Moins d’un demandeur sur trois (32%) estime que le logement qui leur a été proposé était « mieux » que celui qu’ils occupaient au moment de la demande. Le logement proposé est même considéré comme « moins bien » que le précédent par la moitié des demandeurs interrogés »</w:t>
      </w:r>
      <w:r w:rsidRPr="003046E6">
        <w:rPr>
          <w:vertAlign w:val="superscript"/>
        </w:rPr>
        <w:footnoteReference w:id="50"/>
      </w:r>
      <w:r w:rsidR="00F248B6">
        <w:t>.</w:t>
      </w:r>
    </w:p>
    <w:p w:rsidR="003046E6" w:rsidRPr="003046E6" w:rsidRDefault="003046E6" w:rsidP="00EC585C">
      <w:r w:rsidRPr="003046E6">
        <w:t xml:space="preserve">Le quartier (et sa localisation par rapport au lieu de travail) apparaît </w:t>
      </w:r>
      <w:r w:rsidRPr="003046E6">
        <w:rPr>
          <w:i/>
        </w:rPr>
        <w:t>a contrario</w:t>
      </w:r>
      <w:r w:rsidRPr="003046E6">
        <w:t xml:space="preserve"> comme le facteur essentiel de refus (cf. tableau ci-dessous), puisqu’il est évoqué par près de quatre demandeurs sur dix :</w:t>
      </w:r>
    </w:p>
    <w:p w:rsidR="003046E6" w:rsidRPr="003046E6" w:rsidRDefault="003046E6" w:rsidP="00EC585C">
      <w:pPr>
        <w:pStyle w:val="Paragraphedeliste"/>
        <w:numPr>
          <w:ilvl w:val="0"/>
          <w:numId w:val="26"/>
        </w:numPr>
      </w:pPr>
      <w:r w:rsidRPr="003046E6">
        <w:t>plus d’un quart cite le quartier lui-même (27%) ;</w:t>
      </w:r>
    </w:p>
    <w:p w:rsidR="003046E6" w:rsidRPr="003046E6" w:rsidRDefault="003046E6" w:rsidP="00EC585C">
      <w:pPr>
        <w:pStyle w:val="Paragraphedeliste"/>
        <w:numPr>
          <w:ilvl w:val="0"/>
          <w:numId w:val="26"/>
        </w:numPr>
      </w:pPr>
      <w:r w:rsidRPr="003046E6">
        <w:t>un sur dix (9%) cite la distance par rapport au lieu de travail.</w:t>
      </w:r>
    </w:p>
    <w:p w:rsidR="00342CC1" w:rsidRDefault="00342CC1" w:rsidP="00EC585C"/>
    <w:p w:rsidR="00342CC1" w:rsidRPr="00651AC5" w:rsidRDefault="007364D5" w:rsidP="00651AC5">
      <w:pPr>
        <w:jc w:val="center"/>
        <w:rPr>
          <w:b/>
        </w:rPr>
      </w:pPr>
      <w:r w:rsidRPr="00651AC5">
        <w:rPr>
          <w:b/>
        </w:rPr>
        <w:t>Attribution</w:t>
      </w:r>
      <w:r w:rsidR="00FC54DF" w:rsidRPr="00651AC5">
        <w:rPr>
          <w:b/>
        </w:rPr>
        <w:t>s</w:t>
      </w:r>
      <w:r w:rsidRPr="00651AC5">
        <w:rPr>
          <w:b/>
        </w:rPr>
        <w:t xml:space="preserve"> HLM : La raison principale d</w:t>
      </w:r>
      <w:r w:rsidR="00FC54DF" w:rsidRPr="00651AC5">
        <w:rPr>
          <w:b/>
        </w:rPr>
        <w:t>es</w:t>
      </w:r>
      <w:r w:rsidRPr="00651AC5">
        <w:rPr>
          <w:b/>
        </w:rPr>
        <w:t xml:space="preserve"> refus par les ménages.</w:t>
      </w:r>
    </w:p>
    <w:p w:rsidR="003046E6" w:rsidRPr="003046E6" w:rsidRDefault="003046E6" w:rsidP="00EC585C">
      <w:r w:rsidRPr="003046E6">
        <w:rPr>
          <w:noProof/>
          <w:lang w:eastAsia="fr-FR"/>
        </w:rPr>
        <w:lastRenderedPageBreak/>
        <w:drawing>
          <wp:inline distT="0" distB="0" distL="0" distR="0" wp14:anchorId="2B84F407" wp14:editId="26927FAB">
            <wp:extent cx="5717478" cy="3686175"/>
            <wp:effectExtent l="0" t="0" r="0" b="0"/>
            <wp:docPr id="3" name="Image 3" descr="cid:image001.png@01D3A967.36BBF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1.png@01D3A967.36BBF69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24026" cy="3690396"/>
                    </a:xfrm>
                    <a:prstGeom prst="rect">
                      <a:avLst/>
                    </a:prstGeom>
                    <a:noFill/>
                    <a:ln>
                      <a:noFill/>
                    </a:ln>
                  </pic:spPr>
                </pic:pic>
              </a:graphicData>
            </a:graphic>
          </wp:inline>
        </w:drawing>
      </w:r>
    </w:p>
    <w:p w:rsidR="003046E6" w:rsidRPr="003046E6" w:rsidRDefault="003046E6" w:rsidP="00EC585C"/>
    <w:p w:rsidR="001D0207" w:rsidRPr="004E31AE" w:rsidRDefault="003046E6" w:rsidP="00EC585C">
      <w:r w:rsidRPr="003046E6">
        <w:t>Ces chiffres sont corroborés par les données de l’enquête logement de l’INSEE. En 2013, 24% des ménages qui ont emménagé dans un logement du parc social au cours des quatre années précédentes ont refusé auparavant au moins une proposition de logement social. Le quartier dans lequel se situe le logement proposé constitue le motif principal de refus (46%)</w:t>
      </w:r>
      <w:r w:rsidRPr="003046E6">
        <w:rPr>
          <w:vertAlign w:val="superscript"/>
        </w:rPr>
        <w:footnoteReference w:id="51"/>
      </w:r>
      <w:r w:rsidRPr="003046E6">
        <w:t>.</w:t>
      </w:r>
    </w:p>
    <w:p w:rsidR="005B20D2" w:rsidRPr="00D46D4B" w:rsidRDefault="005B20D2" w:rsidP="00106B17">
      <w:pPr>
        <w:pStyle w:val="Titre3"/>
      </w:pPr>
      <w:bookmarkStart w:id="17" w:name="_Toc509327122"/>
      <w:bookmarkStart w:id="18" w:name="_Toc509327213"/>
      <w:r w:rsidRPr="00D46D4B">
        <w:t xml:space="preserve">La difficile adaptation des volontés nationales </w:t>
      </w:r>
      <w:r w:rsidR="00F248B6">
        <w:t>à</w:t>
      </w:r>
      <w:r w:rsidR="00F248B6" w:rsidRPr="00D46D4B">
        <w:t xml:space="preserve"> </w:t>
      </w:r>
      <w:r w:rsidRPr="00D46D4B">
        <w:t>l’ensemble des territoires</w:t>
      </w:r>
      <w:bookmarkEnd w:id="17"/>
      <w:bookmarkEnd w:id="18"/>
    </w:p>
    <w:p w:rsidR="005B20D2" w:rsidRPr="004E31AE" w:rsidRDefault="005B20D2" w:rsidP="00EC585C">
      <w:r w:rsidRPr="004E31AE">
        <w:t>Concernant le Dalo, Paris et l’Île-de-France concentrent les difficultés. Le 6</w:t>
      </w:r>
      <w:r w:rsidR="003F6352" w:rsidRPr="003F6352">
        <w:rPr>
          <w:vertAlign w:val="superscript"/>
        </w:rPr>
        <w:t>ème</w:t>
      </w:r>
      <w:r w:rsidR="003F6352">
        <w:t xml:space="preserve"> </w:t>
      </w:r>
      <w:r w:rsidRPr="004E31AE">
        <w:t xml:space="preserve">rapport (2012) du Comité de suivi de la mise en œuvre du droit au logement imposable indique que le </w:t>
      </w:r>
      <w:r w:rsidR="001C5078">
        <w:t>nombre</w:t>
      </w:r>
      <w:r w:rsidR="001C5078" w:rsidRPr="004E31AE">
        <w:t xml:space="preserve"> </w:t>
      </w:r>
      <w:r w:rsidRPr="004E31AE">
        <w:t>de ménages ayant été ide</w:t>
      </w:r>
      <w:r w:rsidR="00BC1FA4">
        <w:t>ntifié</w:t>
      </w:r>
      <w:r w:rsidR="00F40C20">
        <w:t>s</w:t>
      </w:r>
      <w:r w:rsidR="00BC1FA4">
        <w:t xml:space="preserve"> comme prioritaires Dalo</w:t>
      </w:r>
      <w:r w:rsidR="002E5CF2">
        <w:t>,</w:t>
      </w:r>
      <w:r w:rsidR="00BC1FA4">
        <w:t xml:space="preserve"> e</w:t>
      </w:r>
      <w:r w:rsidRPr="004E31AE">
        <w:t>n à peine un semestre à Paris</w:t>
      </w:r>
      <w:r w:rsidR="002E5CF2">
        <w:t>,</w:t>
      </w:r>
      <w:r w:rsidRPr="004E31AE">
        <w:t xml:space="preserve"> équivalait à plus de 100% des attributions annuelles, tous contingents confondus (soit trois fois le volume du contingent préfectoral et plus de six fois celui issu des accords collectifs départementaux). De plus, ce sont majoritairement les territoires </w:t>
      </w:r>
      <w:r w:rsidR="001C5078">
        <w:t xml:space="preserve">où le parc locatif social est le plus important et </w:t>
      </w:r>
      <w:r w:rsidRPr="004E31AE">
        <w:t xml:space="preserve">dont la population </w:t>
      </w:r>
      <w:r w:rsidR="001C5078">
        <w:t>compte</w:t>
      </w:r>
      <w:r w:rsidR="001C5078" w:rsidRPr="004E31AE">
        <w:t xml:space="preserve"> </w:t>
      </w:r>
      <w:r w:rsidRPr="004E31AE">
        <w:t xml:space="preserve">déjà </w:t>
      </w:r>
      <w:r w:rsidR="001C5078">
        <w:t>une forte proportion de personnes</w:t>
      </w:r>
      <w:r w:rsidR="006F4EE4">
        <w:t xml:space="preserve"> </w:t>
      </w:r>
      <w:r w:rsidR="001C5078">
        <w:t>en situation de précarité</w:t>
      </w:r>
      <w:r w:rsidR="001C5078" w:rsidRPr="004E31AE">
        <w:t xml:space="preserve"> </w:t>
      </w:r>
      <w:r w:rsidRPr="004E31AE">
        <w:t xml:space="preserve">qui accueillent les ménages Dalo. En effet, les communes qui ne respectent pas la loi Solidarité et renouvellement urbain (SRU) échappent à la pression du Préfet, alors que </w:t>
      </w:r>
      <w:r w:rsidR="007D4BA2">
        <w:t>d</w:t>
      </w:r>
      <w:r w:rsidRPr="004E31AE">
        <w:t>es communes comme Argenteuil, Drancy ou Sarcelles sont contraintes par l’État d’accueillir des familles parmi les plus pauvres. Pour le comité de suivi du Dalo, ce qui est en cause, ce n’est pas le Dalo mais l’inégale répartition des logements sociaux sur le territoire francilien.</w:t>
      </w:r>
    </w:p>
    <w:p w:rsidR="005B20D2" w:rsidRPr="004E31AE" w:rsidRDefault="005B20D2" w:rsidP="00EC585C">
      <w:r w:rsidRPr="004E31AE">
        <w:t xml:space="preserve">Dans les faits, l’adéquation entre le stock de demandeurs, les obligations de la législation et les logements disponibles </w:t>
      </w:r>
      <w:r w:rsidR="00D46D4B">
        <w:t>reste</w:t>
      </w:r>
      <w:r w:rsidRPr="004E31AE">
        <w:t xml:space="preserve"> donc problématique.</w:t>
      </w:r>
    </w:p>
    <w:p w:rsidR="00106B17" w:rsidRDefault="00106B17" w:rsidP="00106B17">
      <w:pPr>
        <w:jc w:val="center"/>
      </w:pPr>
      <w:r>
        <w:t>*     *</w:t>
      </w:r>
    </w:p>
    <w:p w:rsidR="00106B17" w:rsidRDefault="00106B17" w:rsidP="00106B17">
      <w:pPr>
        <w:jc w:val="center"/>
      </w:pPr>
      <w:r>
        <w:t>*</w:t>
      </w:r>
    </w:p>
    <w:p w:rsidR="00845026" w:rsidRPr="00845026" w:rsidRDefault="00AB022C" w:rsidP="00EC585C">
      <w:r w:rsidRPr="00106B17">
        <w:rPr>
          <w:b/>
        </w:rPr>
        <w:t>En conclusion</w:t>
      </w:r>
      <w:r>
        <w:t xml:space="preserve">, on retiendra que </w:t>
      </w:r>
      <w:r w:rsidR="00845026">
        <w:t>c</w:t>
      </w:r>
      <w:r w:rsidR="00845026" w:rsidRPr="00845026">
        <w:t xml:space="preserve">es dernières années, la réglementation n’a cessé de renforcer l’encadrement des processus d’attribution de logements sociaux. La volonté de rendre les procédures plus transparentes fait </w:t>
      </w:r>
      <w:r w:rsidR="00C667B7">
        <w:t xml:space="preserve">partie du politiquement correct alors même que les pratiques de clientélisme </w:t>
      </w:r>
      <w:r w:rsidR="00C667B7">
        <w:lastRenderedPageBreak/>
        <w:t xml:space="preserve">n’ont pas toutes disparu comme l’attestent les rapports publics récents </w:t>
      </w:r>
      <w:r w:rsidR="00EC73F1">
        <w:t xml:space="preserve">déjà </w:t>
      </w:r>
      <w:r w:rsidR="00C667B7">
        <w:t>cités. Si certaines pratiques n’ont pas disparu, faute d’évaluation sévère, il est</w:t>
      </w:r>
      <w:r w:rsidR="00EC73F1">
        <w:t>, toutefois,</w:t>
      </w:r>
      <w:r w:rsidR="00C667B7">
        <w:t xml:space="preserve"> difficile de les quantifier. </w:t>
      </w:r>
      <w:r w:rsidR="00EC73F1">
        <w:t>Mais, à</w:t>
      </w:r>
      <w:r w:rsidR="00C667B7">
        <w:t xml:space="preserve"> l’évidence, la complexité des règles et des procédures contribue à maintenir l’opacité et profite à ceux qui la souhaite</w:t>
      </w:r>
      <w:r w:rsidR="001C5078">
        <w:t>nt</w:t>
      </w:r>
      <w:r w:rsidR="00845026" w:rsidRPr="00845026">
        <w:t xml:space="preserve">. L’idée qu’on se fait de l’échelon compétent en matière d’attribution peut cependant diverger. En effet, si les lois Alur et Égalité &amp; Citoyenneté </w:t>
      </w:r>
      <w:r w:rsidR="001C5078">
        <w:t>privilégient</w:t>
      </w:r>
      <w:r w:rsidR="001C5078" w:rsidRPr="00845026">
        <w:t xml:space="preserve"> </w:t>
      </w:r>
      <w:r w:rsidR="00845026" w:rsidRPr="00845026">
        <w:t>l’intercommunalité</w:t>
      </w:r>
      <w:r w:rsidR="007339FA">
        <w:t>,</w:t>
      </w:r>
      <w:r w:rsidR="00845026" w:rsidRPr="00845026">
        <w:t xml:space="preserve"> pour sa part, Geoffroy </w:t>
      </w:r>
      <w:r w:rsidR="00664CE5" w:rsidRPr="00845026">
        <w:t>Didier</w:t>
      </w:r>
      <w:r w:rsidR="00845026" w:rsidRPr="00845026">
        <w:t xml:space="preserve">, porte-parole de François </w:t>
      </w:r>
      <w:r w:rsidR="00664CE5" w:rsidRPr="00845026">
        <w:t>Fillon</w:t>
      </w:r>
      <w:r w:rsidR="00845026" w:rsidRPr="00845026">
        <w:t>, indiquait</w:t>
      </w:r>
      <w:r w:rsidR="007339FA">
        <w:t>,</w:t>
      </w:r>
      <w:r w:rsidR="00845026" w:rsidRPr="00845026">
        <w:t xml:space="preserve"> lors de la </w:t>
      </w:r>
      <w:r w:rsidR="006425CD">
        <w:t xml:space="preserve">dernière </w:t>
      </w:r>
      <w:r w:rsidR="00845026" w:rsidRPr="00845026">
        <w:t>campagne présidentielle, souhaiter faire de l’intercommunalité l’échelon compétent en matière de politique de l’habitat mais conserver à la commune sa compétence en matière d’attributions de logements sociaux.</w:t>
      </w:r>
    </w:p>
    <w:p w:rsidR="00845026" w:rsidRPr="00845026" w:rsidRDefault="00845026" w:rsidP="00EC585C">
      <w:r w:rsidRPr="00845026">
        <w:t xml:space="preserve">Excepté ce point, les changements possibles s’expriment surtout autour de la vocation donnée au logement social, avec deux visions. La première soutient que le parc </w:t>
      </w:r>
      <w:r w:rsidR="007339FA">
        <w:t>HLM</w:t>
      </w:r>
      <w:r w:rsidRPr="00845026">
        <w:t xml:space="preserve"> doit être limité en quantité et être réservé aux ménages jugés prioritaires ; la seconde voit le logement social comme un vecteur de mixité sociale, le parc devant être développé pour accueillir les plus précaires mais également des publics plus aisés. Cette dernière vision s’avère aujourd’hui privilégiée. De fait, les plafonds de ressources sont restés relativement hauts, permettant à environ 65% de la population française </w:t>
      </w:r>
      <w:r w:rsidR="00F40C20">
        <w:t>de</w:t>
      </w:r>
      <w:r w:rsidRPr="00845026">
        <w:t xml:space="preserve"> prétendre à un logement social.</w:t>
      </w:r>
    </w:p>
    <w:p w:rsidR="00845026" w:rsidRPr="00845026" w:rsidRDefault="00845026" w:rsidP="00EC585C">
      <w:r w:rsidRPr="00845026">
        <w:t xml:space="preserve">Cependant, cette vision nationale </w:t>
      </w:r>
      <w:r w:rsidR="00B818B6">
        <w:t>se heurte</w:t>
      </w:r>
      <w:r w:rsidR="00B818B6" w:rsidRPr="00845026">
        <w:t xml:space="preserve"> </w:t>
      </w:r>
      <w:r w:rsidRPr="00845026">
        <w:t>à des situations locales très différen</w:t>
      </w:r>
      <w:r w:rsidR="00B818B6">
        <w:t>t</w:t>
      </w:r>
      <w:r w:rsidRPr="00845026">
        <w:t xml:space="preserve">es. En zone détendue, la demande de logement social n’est que peu portée par des ménages dont les revenus avoisinent les plafonds. Ce manque de demandeurs aux ressources </w:t>
      </w:r>
      <w:r w:rsidR="00B818B6">
        <w:t>relativement</w:t>
      </w:r>
      <w:r w:rsidR="00B818B6" w:rsidRPr="00845026">
        <w:t xml:space="preserve"> </w:t>
      </w:r>
      <w:r w:rsidRPr="00845026">
        <w:t>confortables peut restreindre l’objectif recherché de la mixité. A l’inverse, en territoire tendu comme l’Île-de-France, la forte tension de la demande contrarie les volontés de loger les plus précaires et renforcer ainsi la mixité sociale dans les quartiers.</w:t>
      </w:r>
    </w:p>
    <w:p w:rsidR="00845026" w:rsidRPr="00845026" w:rsidRDefault="00B818B6" w:rsidP="00EC585C">
      <w:r>
        <w:t>I</w:t>
      </w:r>
      <w:r w:rsidR="00845026" w:rsidRPr="00845026">
        <w:t xml:space="preserve">l conviendra d’observer et d’évaluer la réalité </w:t>
      </w:r>
      <w:r w:rsidR="00C32635">
        <w:t xml:space="preserve">de la mise en œuvre </w:t>
      </w:r>
      <w:r w:rsidR="00845026" w:rsidRPr="00845026">
        <w:t xml:space="preserve">de ces différentes mesures sur les territoires afin d’en mesurer l’impact réel </w:t>
      </w:r>
      <w:r w:rsidR="00C32635">
        <w:t>au regard des</w:t>
      </w:r>
      <w:r w:rsidR="00845026" w:rsidRPr="00845026">
        <w:t xml:space="preserve"> objectifs initiaux.</w:t>
      </w:r>
    </w:p>
    <w:p w:rsidR="00A570CD" w:rsidRPr="00A570CD" w:rsidRDefault="00A570CD" w:rsidP="00EC585C"/>
    <w:p w:rsidR="00231D4C" w:rsidRDefault="00231D4C" w:rsidP="00EC585C">
      <w:r>
        <w:br w:type="page"/>
      </w:r>
    </w:p>
    <w:p w:rsidR="00231D4C" w:rsidRPr="00845026" w:rsidRDefault="006A18D3" w:rsidP="00B81DED">
      <w:pPr>
        <w:pStyle w:val="Titre1"/>
        <w:numPr>
          <w:ilvl w:val="0"/>
          <w:numId w:val="0"/>
        </w:numPr>
        <w:jc w:val="center"/>
      </w:pPr>
      <w:bookmarkStart w:id="19" w:name="_Toc509327214"/>
      <w:r w:rsidRPr="00845026">
        <w:lastRenderedPageBreak/>
        <w:t>Annexe</w:t>
      </w:r>
      <w:r w:rsidR="00231D4C" w:rsidRPr="00845026">
        <w:t xml:space="preserve"> 1 – Attribution des logements sociaux : tour d’horizon des critères de priorité qui prévalent en Europe</w:t>
      </w:r>
      <w:bookmarkEnd w:id="19"/>
    </w:p>
    <w:p w:rsidR="00916BA5" w:rsidRPr="00EA43FD" w:rsidRDefault="00EA43FD" w:rsidP="00EC585C">
      <w:r w:rsidRPr="00EA43FD">
        <w:t>Extrait d’une dépêche AEF Info, par Claire Boulland, 4 mai 2015</w:t>
      </w:r>
    </w:p>
    <w:p w:rsidR="00916BA5" w:rsidRPr="00916BA5" w:rsidRDefault="00916BA5" w:rsidP="00EC585C">
      <w:r w:rsidRPr="00916BA5">
        <w:t>La ville de Paris dit s’être basée sur l’expérience de la ville de Londres pour concevoir Loc’annonces, site d’annonces de logements sociaux lancé mi-avril 2015. Les Londoniens proposent un système de cotation des immeubles : les intéressés savent en un clic si leurs conditions de ressources leur permettent de candidater et leurs dossiers sont ensuite soumis à une grille de cotation à travers laquelle ressortent les dossiers des plus prioritaires. Ce concept est appelé, depuis plus de 20 ans, le « choice base lettings ».</w:t>
      </w:r>
    </w:p>
    <w:p w:rsidR="00916BA5" w:rsidRPr="00916BA5" w:rsidRDefault="00916BA5" w:rsidP="00EC585C">
      <w:r w:rsidRPr="00916BA5">
        <w:t>Noémie Houard</w:t>
      </w:r>
      <w:r w:rsidRPr="00916BA5">
        <w:rPr>
          <w:rStyle w:val="Appelnotedebasdep"/>
          <w:sz w:val="20"/>
          <w:szCs w:val="20"/>
        </w:rPr>
        <w:footnoteReference w:id="52"/>
      </w:r>
      <w:r w:rsidR="007339FA">
        <w:t xml:space="preserve"> (...)</w:t>
      </w:r>
      <w:r w:rsidRPr="00916BA5">
        <w:t xml:space="preserve"> a étudié ce système, autrement appelé CBL, développé en premier lieu aux Pays-Bas et qui recouvre différentes formes. Elle souligne qu’il arrive souvent que plusieurs centaines de ménages se positionnent sur un même logement vacant. Et « c’est là que l’arbitraire des corporations de logements peut jouer en fonction du caractère plus ou moins objectif des critères de la grille de cotation locale ».</w:t>
      </w:r>
    </w:p>
    <w:p w:rsidR="00916BA5" w:rsidRPr="00916BA5" w:rsidRDefault="00EA43FD" w:rsidP="00EC585C">
      <w:r>
        <w:t>[</w:t>
      </w:r>
      <w:r w:rsidR="00916BA5" w:rsidRPr="00916BA5">
        <w:t>...</w:t>
      </w:r>
      <w:r>
        <w:t>]</w:t>
      </w:r>
    </w:p>
    <w:p w:rsidR="00916BA5" w:rsidRPr="00916BA5" w:rsidRDefault="00916BA5" w:rsidP="00EC585C">
      <w:r w:rsidRPr="00916BA5">
        <w:t>Parmi les critères (édictés au niveau national et local) les plus diffusés, Noémie Houard cite d’abord la règle de préférence locale accordant une priorité aux ménages liés au territoire. « Figurent aussi la durée sur la liste d’attente et la durée de résidence. Dans d’autres cas, aucun critère n’est pris en compte, l’ordre de préférence étant déterminé par un système de loterie.</w:t>
      </w:r>
      <w:r w:rsidR="007339FA">
        <w:t> »</w:t>
      </w:r>
      <w:r w:rsidRPr="00916BA5">
        <w:rPr>
          <w:rStyle w:val="Appelnotedebasdep"/>
          <w:sz w:val="20"/>
          <w:szCs w:val="20"/>
        </w:rPr>
        <w:footnoteReference w:id="53"/>
      </w:r>
      <w:r w:rsidRPr="00916BA5">
        <w:t xml:space="preserve"> Le ménage est ainsi tiré au sort parmi un ensemble de candidats ayant choisi un même logement, sans distinction de profils. « La loterie s’applique parfois à tous les logements du territoire concerné, parfois seulement aux logements les moins attractifs. »</w:t>
      </w:r>
    </w:p>
    <w:p w:rsidR="00916BA5" w:rsidRPr="00916BA5" w:rsidRDefault="00916BA5" w:rsidP="00EC585C">
      <w:r w:rsidRPr="00916BA5">
        <w:t xml:space="preserve">Après plus de vingt ans d’expérimentation, le CBL permet de tirer </w:t>
      </w:r>
      <w:r w:rsidR="007339FA">
        <w:t>les enseignements suivants : « L</w:t>
      </w:r>
      <w:r w:rsidRPr="00916BA5">
        <w:t>es systèmes de loterie favorisent les demandeurs inscrits depuis peu sur la liste d’attente ; les critères liés à l’âge du demandeur ou à la durée de séjour dans la collectivité ont des effets discriminatoires à l’égard des jeunes. Ils ont donc souvent été remplacés par le critère lié à la durée de séjour sur la liste d’attente ». « Mais, pointe Noémie Houard, ce dernier critère présente lui aussi des limites, favorisant parfois certains ménages s’inscrivant par anticipation sans pour autant être réellement en recherche de logement. » Par ailleurs, « en contexte de marché tendu, où les prix sont élevés en locatif et en accession, le CBL avantage vraisemblablement les classes moyennes, au détriment des ménages à bas revenus ».</w:t>
      </w:r>
    </w:p>
    <w:p w:rsidR="00916BA5" w:rsidRPr="00916BA5" w:rsidRDefault="00916BA5" w:rsidP="00EC585C">
      <w:r w:rsidRPr="00916BA5">
        <w:t>Autres pratiques européennes</w:t>
      </w:r>
    </w:p>
    <w:p w:rsidR="00916BA5" w:rsidRPr="00916BA5" w:rsidRDefault="00916BA5" w:rsidP="00EC585C">
      <w:r w:rsidRPr="00916BA5">
        <w:lastRenderedPageBreak/>
        <w:t xml:space="preserve">En Europe, différents systèmes de priorité coexistent. Par exemple, l’ordre chronologique pour le Danemark, la région flamande, la Suède et la Finlande, « avec possibilité d’attribution communale directe pour les cas les plus urgents de relogement », précise l’USH. La liste d’attente </w:t>
      </w:r>
      <w:r w:rsidR="00AA4908">
        <w:t>–</w:t>
      </w:r>
      <w:r w:rsidRPr="00916BA5">
        <w:t xml:space="preserve"> système</w:t>
      </w:r>
      <w:r w:rsidR="00AA4908">
        <w:t xml:space="preserve"> </w:t>
      </w:r>
      <w:r w:rsidRPr="00916BA5">
        <w:t xml:space="preserve">le plus classique </w:t>
      </w:r>
      <w:r w:rsidR="00AA4908">
        <w:t>–</w:t>
      </w:r>
      <w:r w:rsidRPr="00916BA5">
        <w:t xml:space="preserve"> où</w:t>
      </w:r>
      <w:r w:rsidR="00AA4908">
        <w:t xml:space="preserve"> </w:t>
      </w:r>
      <w:r w:rsidRPr="00916BA5">
        <w:t>les candidats sont systématiquement classés « au mieux » par ordre de priorité (Irlande et Allemagne).</w:t>
      </w:r>
    </w:p>
    <w:p w:rsidR="00916BA5" w:rsidRPr="00916BA5" w:rsidRDefault="00916BA5" w:rsidP="00EC585C">
      <w:r w:rsidRPr="00916BA5">
        <w:t>Le classement s’y opère selon un système de points au sein duquel les principaux critères de priorité sont les conditions de logement du candidat et/ou l’appartenance à des groupes cibles. À chaque caractéristique de la situation du demandeur est affecté un nombre de points. L’attribution s’opère « automatiquement » au profit du candidat ayant le plus grand nombre de points. L’Allemagne par exemple donne une priorité aux conditions de logement au moment de la demande comme l’insalubrité de l’habitat, son niveau de confort et d’équipement ou encore les situations de cohabitation forcée. L’Irlande et le Royaume-Uni, de leurs côtés, privilégient les groupes cibles tels que les sans-abri, les nomades ou encore les personnes dépendantes médicalement.</w:t>
      </w:r>
    </w:p>
    <w:p w:rsidR="00916BA5" w:rsidRPr="00916BA5" w:rsidRDefault="00916BA5" w:rsidP="00EC585C"/>
    <w:p w:rsidR="00916BA5" w:rsidRPr="00916BA5" w:rsidRDefault="00916BA5" w:rsidP="00EC585C">
      <w:r w:rsidRPr="00916BA5">
        <w:t>« Soupapes » et « portes de sorties »</w:t>
      </w:r>
    </w:p>
    <w:p w:rsidR="00916BA5" w:rsidRPr="00916BA5" w:rsidRDefault="00916BA5" w:rsidP="00EC585C">
      <w:r w:rsidRPr="00916BA5">
        <w:t xml:space="preserve">« Si ce système de classement par points permet de répondre à un souci d’équité, d’efficacité et de transparence, il limite fortement les marges de manœuvre et l’exercice des politiques de peuplement », remarque l’USH. « C’est la raison pour laquelle des </w:t>
      </w:r>
      <w:r w:rsidR="007339FA">
        <w:t>"</w:t>
      </w:r>
      <w:r w:rsidRPr="00916BA5">
        <w:t>soupapes</w:t>
      </w:r>
      <w:r w:rsidR="007339FA">
        <w:t>"</w:t>
      </w:r>
      <w:r w:rsidRPr="00916BA5">
        <w:t xml:space="preserve"> ou autres </w:t>
      </w:r>
      <w:r w:rsidR="007339FA">
        <w:t>"</w:t>
      </w:r>
      <w:r w:rsidRPr="00916BA5">
        <w:t>portes de sortie</w:t>
      </w:r>
      <w:r w:rsidR="007339FA">
        <w:t>"</w:t>
      </w:r>
      <w:r w:rsidRPr="00916BA5">
        <w:t xml:space="preserve"> ont été instaurées. » En Allemagne, le bailleur social dispose de la possibilité de choisir un candidat parmi trois candidats présentés. En Belgique, des dérogations ont été définies et des sous-listes d’attente ont été organisées. Ainsi, en région wallonne, deux tiers des logements sont attribués automatiquement par liste d’attente informatisée (liste prioritaire) et un tiers au cas par cas (revenus moyens). L’USH explique que ce tiers peut être majoré par dérogation expresse en cas de déséquilibre social du peuplement. Un système analogue d’attribution automatique existe en région bruxelloise auquel est associé un régime d’attribution dérogatoire soit pour accélérer les procédures d’attribution d’urgence (relogement, expulsion) soit pour mettre en œuvre un rééquilibrage social des quartiers.</w:t>
      </w:r>
    </w:p>
    <w:p w:rsidR="00916BA5" w:rsidRPr="00916BA5" w:rsidRDefault="00916BA5" w:rsidP="00EC585C">
      <w:r w:rsidRPr="00916BA5">
        <w:t>« On observe le développement de systèmes de liste d’attente commune établie au niveau local en Irlande, Royaume-Uni, Pays-Bas et en Allemagne, modèle en cours d’extension des conférences communales initialement créées à Brême et permettant de répartir la demande sociale prioritaire sur l’ensemble du parc locatif social de la commune et non pas de la concentrer sur un quartier particulier ou sur une entreprise de logement social », souligne enfin l’USH.</w:t>
      </w:r>
    </w:p>
    <w:p w:rsidR="00916BA5" w:rsidRPr="00916BA5" w:rsidRDefault="00916BA5" w:rsidP="00EC585C"/>
    <w:p w:rsidR="00231D4C" w:rsidRDefault="00231D4C" w:rsidP="00EC585C">
      <w:r>
        <w:br w:type="page"/>
      </w:r>
    </w:p>
    <w:p w:rsidR="00231D4C" w:rsidRPr="00845026" w:rsidRDefault="006A18D3" w:rsidP="00B81DED">
      <w:pPr>
        <w:pStyle w:val="Titre1"/>
        <w:numPr>
          <w:ilvl w:val="0"/>
          <w:numId w:val="0"/>
        </w:numPr>
        <w:jc w:val="center"/>
      </w:pPr>
      <w:bookmarkStart w:id="20" w:name="_Toc509327215"/>
      <w:r w:rsidRPr="00845026">
        <w:lastRenderedPageBreak/>
        <w:t>Annexe</w:t>
      </w:r>
      <w:r w:rsidR="00231D4C" w:rsidRPr="00845026">
        <w:t xml:space="preserve"> 2 – Lettre ouverte à M. </w:t>
      </w:r>
      <w:r w:rsidRPr="00845026">
        <w:t xml:space="preserve">Sarkozy </w:t>
      </w:r>
      <w:r w:rsidR="00231D4C" w:rsidRPr="00845026">
        <w:t xml:space="preserve">et à Mme </w:t>
      </w:r>
      <w:r w:rsidRPr="00845026">
        <w:t xml:space="preserve">Boutin </w:t>
      </w:r>
      <w:r w:rsidR="00231D4C" w:rsidRPr="00845026">
        <w:t>sur les conséquences du projet de loi concernant les locataires des logements sociaux</w:t>
      </w:r>
      <w:r w:rsidR="00231D4C" w:rsidRPr="00845026">
        <w:rPr>
          <w:rStyle w:val="Appelnotedebasdep"/>
          <w:rFonts w:cs="Arial"/>
          <w:szCs w:val="24"/>
        </w:rPr>
        <w:footnoteReference w:id="54"/>
      </w:r>
      <w:bookmarkEnd w:id="20"/>
    </w:p>
    <w:p w:rsidR="00AA4908" w:rsidRDefault="00AA4908" w:rsidP="00EC585C"/>
    <w:p w:rsidR="00AA4908" w:rsidRPr="00AA4908" w:rsidRDefault="00AA4908" w:rsidP="00EC585C">
      <w:r w:rsidRPr="00AA4908">
        <w:t>M. Sarkozy, Mme Boutin, nous comprenons fort bien que dans la conjoncture actuelle, vous n’ayez pu répondre à nos nombreux courriers, recommandés, e-mails... mais nous souhaitons d’urgence attirer votre attention sur les conséquences de votre projet de loi, pendant qu’il en est encore temps...</w:t>
      </w:r>
    </w:p>
    <w:p w:rsidR="00EA43FD" w:rsidRPr="00916BA5" w:rsidRDefault="00EA43FD" w:rsidP="00EC585C">
      <w:r>
        <w:t>[</w:t>
      </w:r>
      <w:r w:rsidRPr="00916BA5">
        <w:t>...</w:t>
      </w:r>
      <w:r>
        <w:t>]</w:t>
      </w:r>
    </w:p>
    <w:p w:rsidR="00AA4908" w:rsidRPr="00AA4908" w:rsidRDefault="00AA4908" w:rsidP="00EC585C">
      <w:r w:rsidRPr="00AA4908">
        <w:t>Tous les locataires sont extrêmement inquiets depuis qu’ils ont pris connaissance de votre projet, nombreux sont ceux qui se sont rendus malades, angoissés, prennent des somnifères, antidépresseurs, nous avons également, à plusieurs reprises, entendu des locataires nous parler de suicide si, quelles qu’en soient les raisons (loyers + surloyers devenus inabordables, obligations de déménager ou expulsions), ils étaient contraints de quitter leur logement.</w:t>
      </w:r>
    </w:p>
    <w:p w:rsidR="00AA4908" w:rsidRPr="00AA4908" w:rsidRDefault="00AA4908" w:rsidP="00EC585C">
      <w:r w:rsidRPr="00AA4908">
        <w:t>De plus, vous prévoyez d’abaisser de 10,3% les plafonds de ressources afin d’avoir accès à un logement social ; cette mesure entraînerait obligatoirement une hausse très importante du budget logement, pour les locataires assujettis aux surloyers, au détriment des dépenses courantes nécessaires (alimentation, santé, éducation, etc.).</w:t>
      </w:r>
    </w:p>
    <w:p w:rsidR="00AA4908" w:rsidRPr="00AA4908" w:rsidRDefault="00AA4908" w:rsidP="00EC585C">
      <w:r w:rsidRPr="00AA4908">
        <w:t>Ce n’est pas en « taxant » les classes moyennes ni en les expulsant que perdurera la mixité sociale, vous ne ferez ainsi qu’accentuer les « ghettos de pauvres » et leurs conséquences, mais surtout ce ne sont en aucun cas pas ces mesures qui créeront de nouveaux logements.</w:t>
      </w:r>
    </w:p>
    <w:p w:rsidR="00AA4908" w:rsidRPr="00AA4908" w:rsidRDefault="00AA4908" w:rsidP="00EC585C">
      <w:r w:rsidRPr="00AA4908">
        <w:t>Ce n’est pas aux locataires des HLM qu’il faut vous en prendre, ni les culpabiliser, mais plutôt aux propriétaires du privé et aux loyers faramineux qu’ils exigent depuis déjà longtemps, rendant par conséquent si difficile le logement en France, notamment dans les grandes villes comme Paris.</w:t>
      </w:r>
    </w:p>
    <w:p w:rsidR="00AA4908" w:rsidRPr="00AA4908" w:rsidRDefault="00AA4908" w:rsidP="00EC585C">
      <w:r w:rsidRPr="00AA4908">
        <w:t>M. Sarkozy, Mme Boutin, nous n’avons pas travaillé toute notre vie et payé notre loyer pendant 30/40 ans avec nos salaires, pour ensuite être expulsés ou obligés de déménager (pour un logement plus petit mais au même prix !), sous prétexte que les responsables politiques n’ont jamais anticipé le problème de logement en France, ni réalisé la hausse des loyers du privé, et donc réagi à temps.</w:t>
      </w:r>
    </w:p>
    <w:p w:rsidR="00AA4908" w:rsidRPr="00AA4908" w:rsidRDefault="00AA4908" w:rsidP="00EC585C">
      <w:r w:rsidRPr="00AA4908">
        <w:t>Nous doutons que vous ayez pris conscience des conséquences dramatiques, inhumaines et injustes de ce projet de lois. Aussi, si nous mettions en application le principe de M. Sarkozy « travailler + pour gagner + », ces mesures seront en totale contradiction, car si nous l’appliquons et gagnons plus, nous serons victimes des surloyers et des expulsions...</w:t>
      </w:r>
    </w:p>
    <w:p w:rsidR="00AA4908" w:rsidRPr="00AA4908" w:rsidRDefault="00AA4908" w:rsidP="00EC585C">
      <w:r w:rsidRPr="00AA4908">
        <w:t>Voici, selon votre projet, un exemple de loyers que devraient payer des locataires de type « classe moyenne ». Exemple : Ressources = 3 607 € / mois pour une famille de deux personnes ; loyer avant le surloyer : 524 € hors charges ; loyer après le projet Boutin : 802 € hors charges !!!!</w:t>
      </w:r>
    </w:p>
    <w:p w:rsidR="00486C13" w:rsidRDefault="00486C13" w:rsidP="00EC585C">
      <w:r>
        <w:br w:type="page"/>
      </w:r>
    </w:p>
    <w:p w:rsidR="00AA4908" w:rsidRPr="001875E8" w:rsidRDefault="00C879C7" w:rsidP="00B81DED">
      <w:pPr>
        <w:pStyle w:val="Titre1"/>
        <w:numPr>
          <w:ilvl w:val="0"/>
          <w:numId w:val="0"/>
        </w:numPr>
        <w:jc w:val="center"/>
      </w:pPr>
      <w:bookmarkStart w:id="21" w:name="_Toc509327216"/>
      <w:r w:rsidRPr="001875E8">
        <w:lastRenderedPageBreak/>
        <w:t xml:space="preserve">Annexe 3 – </w:t>
      </w:r>
      <w:r w:rsidR="001875E8" w:rsidRPr="001875E8">
        <w:t>Transparence des attributions de logements sociaux : le chantier est ouvert</w:t>
      </w:r>
      <w:bookmarkEnd w:id="21"/>
    </w:p>
    <w:p w:rsidR="00EA43FD" w:rsidRPr="00EA43FD" w:rsidRDefault="00EA43FD" w:rsidP="00EC585C">
      <w:hyperlink r:id="rId12" w:history="1">
        <w:r w:rsidRPr="00EA43FD">
          <w:rPr>
            <w:rStyle w:val="Lienhypertexte"/>
            <w:i/>
            <w:sz w:val="20"/>
            <w:szCs w:val="20"/>
          </w:rPr>
          <w:t>Article publié dans la Gazette des communes</w:t>
        </w:r>
      </w:hyperlink>
      <w:r w:rsidRPr="00EA43FD">
        <w:t xml:space="preserve"> le 07/07/2015, par Delphine Gerbeau</w:t>
      </w:r>
    </w:p>
    <w:p w:rsidR="00C879C7" w:rsidRDefault="00C879C7" w:rsidP="00EC585C"/>
    <w:p w:rsidR="001875E8" w:rsidRDefault="001875E8" w:rsidP="00EC585C">
      <w:r>
        <w:t>Le Ministère du logement a mis en place deux groupes de travail réunissant des intercommunalités. Objectif, faire de la pédagogie sur les différents outils de la loi ALUR qui visent à plus de transparence dans les attributions de logements sociaux. Et convaincre les récalcitrants de l’intérêt de ces démarches.</w:t>
      </w:r>
    </w:p>
    <w:p w:rsidR="001875E8" w:rsidRDefault="001875E8" w:rsidP="00EC585C">
      <w:r>
        <w:t xml:space="preserve">Un peu plus d’un an après l’entrée en vigueur de la loi ALUR du 24 mars 2014, qui comportait un chapitre entier destiné à « réformer les procédures de demande d’un logement social pour plus de transparence, d’efficacité et d’équité », les intercommunalités montent doucement en puissance sur le dossier. Afin d’accélérer les réflexions, mais aussi pour alimenter le futur projet de loi </w:t>
      </w:r>
      <w:r w:rsidR="00DE3C55">
        <w:t>« </w:t>
      </w:r>
      <w:r>
        <w:t xml:space="preserve">Égalité et </w:t>
      </w:r>
      <w:r w:rsidR="00DE3C55">
        <w:t>C</w:t>
      </w:r>
      <w:r>
        <w:t>itoyenneté</w:t>
      </w:r>
      <w:r w:rsidR="00DE3C55">
        <w:t> »</w:t>
      </w:r>
      <w:r>
        <w:t xml:space="preserve"> qui devrait être déposé cet automne au Parlement, le </w:t>
      </w:r>
      <w:r w:rsidR="00A4620A">
        <w:t>M</w:t>
      </w:r>
      <w:r>
        <w:t>inistère du logement a créé deux groupes de travail pour amener les EPCI à s’emparer des réformes introduites.</w:t>
      </w:r>
    </w:p>
    <w:p w:rsidR="00CC3C9B" w:rsidRDefault="00CC3C9B" w:rsidP="00EC585C">
      <w:r>
        <w:t>Ainsi un « club des acteurs de la réforme », réunissant aujourd’hui 22 intercos adhérentes, a été créé (...). Quelques-uns vont installer leur conférence intercommunale du logement (CIL) début juillet – obligatoire depuis la loi ALUR dans les intercos ayant un programme local de l’habitat approuvé et un quartier en politique de la ville », explique-t-on au Ministère du logement.</w:t>
      </w:r>
    </w:p>
    <w:p w:rsidR="00CC3C9B" w:rsidRPr="00B81DED" w:rsidRDefault="00CC3C9B" w:rsidP="00B81DED">
      <w:pPr>
        <w:pStyle w:val="Titre3"/>
      </w:pPr>
      <w:bookmarkStart w:id="22" w:name="_Toc509327126"/>
      <w:bookmarkStart w:id="23" w:name="_Toc509327217"/>
      <w:r w:rsidRPr="00B81DED">
        <w:t>Une révolution des mentalités</w:t>
      </w:r>
      <w:bookmarkEnd w:id="22"/>
      <w:bookmarkEnd w:id="23"/>
    </w:p>
    <w:p w:rsidR="00CC3C9B" w:rsidRDefault="00CC3C9B" w:rsidP="00EC585C">
      <w:r>
        <w:t>Côté collectivités, même si l’instauration de la CIL fait consensus, passer de la théorie à la pratique ne se</w:t>
      </w:r>
      <w:r w:rsidR="002A68EB">
        <w:t>r</w:t>
      </w:r>
      <w:r>
        <w:t xml:space="preserve">a pas toujours aussi simple. </w:t>
      </w:r>
      <w:r w:rsidR="002A68EB">
        <w:t>Le côté « grand-messe » avec de nombreux interlocuteurs peut faire peur aux techniciens, avec la nécessaire pédagogie, et la remise à niveau de l’ensemble des participants que cela implique. « Le sujet des attributions, notamment la phase de présélection par le bailleur des candidatures qui seront présentées en commission d’attribution des logements, reste souvent traité dans l’entre-soi, il faut répondre à des injonctions contradictoires », pointe-t-on au Ministère du logement.</w:t>
      </w:r>
    </w:p>
    <w:p w:rsidR="002A68EB" w:rsidRDefault="002A68EB" w:rsidP="00EC585C">
      <w:r>
        <w:t xml:space="preserve">Par ailleurs, le maire a aujourd’hui voix prépondérante dans le choix de l’attributaire, certains peuvent donc craindre une remise en cause de ce pouvoir avec l’instauration des CIL. Les intercommunalités devront donc agir avec subtilité pour entraîner </w:t>
      </w:r>
      <w:r w:rsidR="00DE3C55">
        <w:t>les maires dans ce nouvel outil</w:t>
      </w:r>
      <w:r>
        <w:t xml:space="preserve"> qui</w:t>
      </w:r>
      <w:r w:rsidR="00DE3C55">
        <w:t>,</w:t>
      </w:r>
      <w:r>
        <w:t xml:space="preserve"> pour être vraiment efficace, pourra être complété par une qualification de l’occupation du parc social, accompagné d’une cartographie, comme l’a proposé l’Union sociale pour l’habitat avant le comité interministériel à l’égalité et à la citoyenneté du 6 mars 2015. C’est là le seul moyen de mettre en place des politiques de mixité sociale à l’échelle d’un territoire.</w:t>
      </w:r>
    </w:p>
    <w:p w:rsidR="002A68EB" w:rsidRDefault="002A68EB" w:rsidP="00B81DED">
      <w:pPr>
        <w:pStyle w:val="Titre3"/>
      </w:pPr>
      <w:bookmarkStart w:id="24" w:name="_Toc509327127"/>
      <w:bookmarkStart w:id="25" w:name="_Toc509327218"/>
      <w:r>
        <w:t>Location choisie, cotation de la demande : un besoin de définition</w:t>
      </w:r>
      <w:bookmarkEnd w:id="24"/>
      <w:bookmarkEnd w:id="25"/>
    </w:p>
    <w:p w:rsidR="002A68EB" w:rsidRDefault="002A68EB" w:rsidP="00EC585C">
      <w:r>
        <w:t xml:space="preserve">Second groupe de travail mis en place, celui des « EPCI volontaires pour mettre en œuvre les dispositions facultatives de la loi ALUR », comme </w:t>
      </w:r>
      <w:r w:rsidR="00C4280D">
        <w:t xml:space="preserve">la location choisie, la cotation de la demande, la mutualisation des contingents. Il est aujourd’hui composé de neuf EPCI volontaires (Rennes métropole, Nantes métropole, le Grand Poitiers, le Grand Narbonne, Grenoble Alpes métropole, Strasbourg Eurométropole, Lille métropole, la communauté d’agglomération du Pays Voironnais) certains expérimentant déjà ces dispositifs, d’autres comme le Grand Narbonne, candidats à le faire. « Nous allons délibérer en septembre pour mettre en place une conférence intercommunale du logement, ainsi que le plan partenarial de gestion de la demande et la convention intercommunale d’attribution des logements sociaux, explique Isabelle Herpe, vice-présidente du Grand Narbonne déléguée à la politique de l’habitat. Ensuite </w:t>
      </w:r>
      <w:r w:rsidR="00900116">
        <w:t xml:space="preserve">nous souhaitons plus particulièrement travailler sur la cotation de la </w:t>
      </w:r>
      <w:r w:rsidR="00900116">
        <w:lastRenderedPageBreak/>
        <w:t>demande. La question de la mixité sociale nous interroge particulièrement. Nous ressentons une réelle envie de la part des bailleurs de travailler ensemble sur ces sujets. »</w:t>
      </w:r>
    </w:p>
    <w:p w:rsidR="00900116" w:rsidRDefault="00900116" w:rsidP="00EC585C">
      <w:r>
        <w:t>Pour ce second groupe de travail, l’enjeu sera d’abord de mettre à plat ce qui a déjà été fait et de le qualifier : les dispositifs de location choisie mis en place à Grenoble ou dans le pays voironnais ne correspondent pas à la location choisie telle qu’elle est mise en place en Grande-Bretagne par exemple. Même chose pour la cotation de la demande, mise en place notamment à Rennes métropole. Elle permet d’avancer dans l’objectivation des demandes, qui n’aura un intérêt que si la cotation est partagée. Elle doit rester un outil d’aide à la décision, réclament les élus locaux, mais ne pas être uniquement un moyen de se donner bonne conscience.</w:t>
      </w:r>
    </w:p>
    <w:p w:rsidR="00900116" w:rsidRDefault="00900116" w:rsidP="00EC585C"/>
    <w:p w:rsidR="00900116" w:rsidRPr="001875E8" w:rsidRDefault="00900116" w:rsidP="00EC585C"/>
    <w:p w:rsidR="00C879C7" w:rsidRDefault="00C879C7" w:rsidP="00EC585C">
      <w:r>
        <w:br w:type="page"/>
      </w:r>
    </w:p>
    <w:p w:rsidR="00C879C7" w:rsidRPr="009D26DC" w:rsidRDefault="00C879C7" w:rsidP="00B81DED">
      <w:pPr>
        <w:pStyle w:val="Titre1"/>
        <w:numPr>
          <w:ilvl w:val="0"/>
          <w:numId w:val="0"/>
        </w:numPr>
        <w:jc w:val="center"/>
      </w:pPr>
      <w:bookmarkStart w:id="26" w:name="_Toc509327219"/>
      <w:r w:rsidRPr="009D26DC">
        <w:lastRenderedPageBreak/>
        <w:t xml:space="preserve">Annexe 4 – </w:t>
      </w:r>
      <w:r w:rsidR="00B659EA" w:rsidRPr="009D26DC">
        <w:t>HLM : ces villes peu ouvertes aux publics prioritaires</w:t>
      </w:r>
      <w:bookmarkEnd w:id="26"/>
    </w:p>
    <w:p w:rsidR="00EA43FD" w:rsidRPr="00EA43FD" w:rsidRDefault="00EA43FD" w:rsidP="00EC585C">
      <w:pPr>
        <w:rPr>
          <w:sz w:val="20"/>
          <w:szCs w:val="20"/>
        </w:rPr>
      </w:pPr>
      <w:r w:rsidRPr="00EA43FD">
        <w:rPr>
          <w:sz w:val="20"/>
          <w:szCs w:val="20"/>
        </w:rPr>
        <w:t>Article extrait « du Monde » du 27 juin 2016</w:t>
      </w:r>
      <w:r w:rsidRPr="00EA43FD">
        <w:t xml:space="preserve"> : </w:t>
      </w:r>
      <w:hyperlink r:id="rId13" w:anchor="kB6rd11mKiv86474.99" w:history="1">
        <w:r w:rsidRPr="00EA43FD">
          <w:rPr>
            <w:rStyle w:val="Lienhypertexte"/>
            <w:i/>
            <w:sz w:val="20"/>
            <w:szCs w:val="20"/>
          </w:rPr>
          <w:t>http://www.lemonde.fr/logement/article/2016/06/27/hlm-ces-villes-peu-ouvertes-aux-publics-prioritaires_4958689_1653445.html#kB6rd11mKiv86474.99</w:t>
        </w:r>
      </w:hyperlink>
    </w:p>
    <w:p w:rsidR="00B659EA" w:rsidRPr="009139D7" w:rsidRDefault="00B659EA" w:rsidP="00EC585C"/>
    <w:p w:rsidR="009D26DC" w:rsidRPr="008E5BBC" w:rsidRDefault="009D26DC" w:rsidP="00EC585C">
      <w:r w:rsidRPr="008E5BBC">
        <w:t xml:space="preserve">La loi </w:t>
      </w:r>
      <w:r w:rsidR="009139D7" w:rsidRPr="008E5BBC">
        <w:t>« Égalité</w:t>
      </w:r>
      <w:r w:rsidRPr="008E5BBC">
        <w:t xml:space="preserve"> et </w:t>
      </w:r>
      <w:r w:rsidR="004C1E68">
        <w:t>C</w:t>
      </w:r>
      <w:r w:rsidRPr="008E5BBC">
        <w:t>itoyenneté</w:t>
      </w:r>
      <w:r w:rsidR="009139D7" w:rsidRPr="008E5BBC">
        <w:t> »</w:t>
      </w:r>
      <w:r w:rsidRPr="008E5BBC">
        <w:t>, examinée à partir de lundi à l’Assemblée, instaure aux mairies un quota de 25% de logements sociaux à réserver aux familles les plus modestes.</w:t>
      </w:r>
    </w:p>
    <w:p w:rsidR="009D26DC" w:rsidRPr="008E5BBC" w:rsidRDefault="009D26DC" w:rsidP="00EC585C">
      <w:pPr>
        <w:rPr>
          <w:bCs/>
          <w:sz w:val="20"/>
        </w:rPr>
      </w:pPr>
      <w:r w:rsidRPr="008E5BBC">
        <w:rPr>
          <w:bCs/>
          <w:sz w:val="20"/>
        </w:rPr>
        <w:t>L’Assemblée nationale va</w:t>
      </w:r>
      <w:r w:rsidR="009139D7" w:rsidRPr="008E5BBC">
        <w:rPr>
          <w:bCs/>
          <w:sz w:val="20"/>
        </w:rPr>
        <w:t xml:space="preserve"> </w:t>
      </w:r>
      <w:hyperlink r:id="rId14" w:tgtFrame="_blank" w:tooltip="Conjugaison du verbe examiner" w:history="1">
        <w:r w:rsidRPr="008E5BBC">
          <w:rPr>
            <w:rStyle w:val="Lienhypertexte"/>
            <w:bCs/>
            <w:color w:val="auto"/>
            <w:sz w:val="20"/>
            <w:u w:val="none"/>
          </w:rPr>
          <w:t>examiner</w:t>
        </w:r>
      </w:hyperlink>
      <w:r w:rsidRPr="008E5BBC">
        <w:rPr>
          <w:bCs/>
          <w:sz w:val="20"/>
        </w:rPr>
        <w:t>, de lundi</w:t>
      </w:r>
      <w:r w:rsidR="00917E49">
        <w:rPr>
          <w:bCs/>
          <w:sz w:val="20"/>
        </w:rPr>
        <w:t xml:space="preserve"> </w:t>
      </w:r>
      <w:r w:rsidRPr="008E5BBC">
        <w:rPr>
          <w:bCs/>
          <w:sz w:val="20"/>
        </w:rPr>
        <w:t>27 à vendredi 30</w:t>
      </w:r>
      <w:r w:rsidR="00917E49">
        <w:rPr>
          <w:bCs/>
          <w:sz w:val="20"/>
        </w:rPr>
        <w:t xml:space="preserve"> </w:t>
      </w:r>
      <w:r w:rsidRPr="008E5BBC">
        <w:rPr>
          <w:bCs/>
          <w:sz w:val="20"/>
        </w:rPr>
        <w:t>juin, le</w:t>
      </w:r>
      <w:r w:rsidR="00917E49">
        <w:rPr>
          <w:bCs/>
          <w:sz w:val="20"/>
        </w:rPr>
        <w:t xml:space="preserve"> </w:t>
      </w:r>
      <w:hyperlink r:id="rId15" w:tooltip="Toute l’actualité projet" w:history="1">
        <w:r w:rsidRPr="008E5BBC">
          <w:rPr>
            <w:rStyle w:val="Lienhypertexte"/>
            <w:bCs/>
            <w:color w:val="auto"/>
            <w:sz w:val="20"/>
            <w:u w:val="none"/>
          </w:rPr>
          <w:t>projet</w:t>
        </w:r>
      </w:hyperlink>
      <w:r w:rsidR="00917E49">
        <w:rPr>
          <w:sz w:val="20"/>
        </w:rPr>
        <w:t xml:space="preserve"> </w:t>
      </w:r>
      <w:r w:rsidRPr="008E5BBC">
        <w:rPr>
          <w:bCs/>
          <w:sz w:val="20"/>
        </w:rPr>
        <w:t>de loi « </w:t>
      </w:r>
      <w:r w:rsidR="004C1E68">
        <w:rPr>
          <w:bCs/>
          <w:sz w:val="20"/>
        </w:rPr>
        <w:t>É</w:t>
      </w:r>
      <w:r w:rsidRPr="008E5BBC">
        <w:rPr>
          <w:bCs/>
          <w:sz w:val="20"/>
        </w:rPr>
        <w:t xml:space="preserve">galité et </w:t>
      </w:r>
      <w:r w:rsidR="004C1E68">
        <w:rPr>
          <w:bCs/>
          <w:sz w:val="20"/>
        </w:rPr>
        <w:t>C</w:t>
      </w:r>
      <w:r w:rsidRPr="008E5BBC">
        <w:rPr>
          <w:bCs/>
          <w:sz w:val="20"/>
        </w:rPr>
        <w:t>itoyenneté ». Sur le volet</w:t>
      </w:r>
      <w:r w:rsidR="00917E49">
        <w:rPr>
          <w:bCs/>
          <w:sz w:val="20"/>
        </w:rPr>
        <w:t xml:space="preserve"> </w:t>
      </w:r>
      <w:hyperlink r:id="rId16" w:tooltip="Toute l’actualité logement" w:history="1">
        <w:r w:rsidRPr="008E5BBC">
          <w:rPr>
            <w:rStyle w:val="Lienhypertexte"/>
            <w:bCs/>
            <w:color w:val="auto"/>
            <w:sz w:val="20"/>
            <w:u w:val="none"/>
          </w:rPr>
          <w:t>logement</w:t>
        </w:r>
      </w:hyperlink>
      <w:r w:rsidRPr="008E5BBC">
        <w:rPr>
          <w:bCs/>
          <w:sz w:val="20"/>
        </w:rPr>
        <w:t>, les</w:t>
      </w:r>
      <w:r w:rsidR="00917E49">
        <w:rPr>
          <w:bCs/>
          <w:sz w:val="20"/>
        </w:rPr>
        <w:t xml:space="preserve"> </w:t>
      </w:r>
      <w:hyperlink r:id="rId17" w:tooltip="Toute l’actualité débats" w:history="1">
        <w:r w:rsidRPr="008E5BBC">
          <w:rPr>
            <w:rStyle w:val="Lienhypertexte"/>
            <w:bCs/>
            <w:color w:val="auto"/>
            <w:sz w:val="20"/>
            <w:u w:val="none"/>
          </w:rPr>
          <w:t>débats</w:t>
        </w:r>
      </w:hyperlink>
      <w:r w:rsidR="00917E49">
        <w:rPr>
          <w:sz w:val="20"/>
        </w:rPr>
        <w:t xml:space="preserve"> </w:t>
      </w:r>
      <w:r w:rsidRPr="008E5BBC">
        <w:rPr>
          <w:bCs/>
          <w:sz w:val="20"/>
        </w:rPr>
        <w:t xml:space="preserve">promettent d’être aussi vifs qu’il y a seize ans, pour la loi de </w:t>
      </w:r>
      <w:r w:rsidR="004C1E68">
        <w:rPr>
          <w:bCs/>
          <w:sz w:val="20"/>
        </w:rPr>
        <w:t>S</w:t>
      </w:r>
      <w:r w:rsidRPr="008E5BBC">
        <w:rPr>
          <w:bCs/>
          <w:sz w:val="20"/>
        </w:rPr>
        <w:t>olidarité et renouvellement urbains (SRU</w:t>
      </w:r>
      <w:r w:rsidR="004C1E68">
        <w:rPr>
          <w:bCs/>
          <w:sz w:val="20"/>
        </w:rPr>
        <w:t>)</w:t>
      </w:r>
      <w:r w:rsidRPr="008E5BBC">
        <w:rPr>
          <w:bCs/>
          <w:sz w:val="20"/>
        </w:rPr>
        <w:t xml:space="preserve"> du 13</w:t>
      </w:r>
      <w:r w:rsidR="00917E49">
        <w:rPr>
          <w:bCs/>
          <w:sz w:val="20"/>
        </w:rPr>
        <w:t xml:space="preserve"> </w:t>
      </w:r>
      <w:r w:rsidRPr="008E5BBC">
        <w:rPr>
          <w:bCs/>
          <w:sz w:val="20"/>
        </w:rPr>
        <w:t>décembre 2000. Plusieurs maires sont déjà vent debout contre son article</w:t>
      </w:r>
      <w:r w:rsidR="00917E49">
        <w:rPr>
          <w:bCs/>
          <w:sz w:val="20"/>
        </w:rPr>
        <w:t xml:space="preserve"> </w:t>
      </w:r>
      <w:r w:rsidRPr="008E5BBC">
        <w:rPr>
          <w:bCs/>
          <w:sz w:val="20"/>
        </w:rPr>
        <w:t>20, qui crée</w:t>
      </w:r>
      <w:r w:rsidR="00917E49">
        <w:rPr>
          <w:bCs/>
          <w:sz w:val="20"/>
        </w:rPr>
        <w:t xml:space="preserve"> </w:t>
      </w:r>
      <w:r w:rsidRPr="008E5BBC">
        <w:rPr>
          <w:bCs/>
          <w:sz w:val="20"/>
        </w:rPr>
        <w:t>un</w:t>
      </w:r>
      <w:r w:rsidR="00917E49">
        <w:rPr>
          <w:bCs/>
          <w:sz w:val="20"/>
        </w:rPr>
        <w:t xml:space="preserve"> </w:t>
      </w:r>
      <w:hyperlink r:id="rId18" w:tgtFrame="_blank" w:tooltip="Conjugaison du verbe devoir" w:history="1">
        <w:r w:rsidRPr="008E5BBC">
          <w:rPr>
            <w:rStyle w:val="Lienhypertexte"/>
            <w:bCs/>
            <w:color w:val="auto"/>
            <w:sz w:val="20"/>
            <w:u w:val="none"/>
          </w:rPr>
          <w:t>devoir</w:t>
        </w:r>
      </w:hyperlink>
      <w:r w:rsidR="00917E49">
        <w:rPr>
          <w:sz w:val="20"/>
        </w:rPr>
        <w:t xml:space="preserve"> </w:t>
      </w:r>
      <w:r w:rsidRPr="008E5BBC">
        <w:rPr>
          <w:bCs/>
          <w:sz w:val="20"/>
        </w:rPr>
        <w:t>de solidarité pour l’accueil, dans le parc</w:t>
      </w:r>
      <w:r w:rsidR="00917E49">
        <w:rPr>
          <w:bCs/>
          <w:sz w:val="20"/>
        </w:rPr>
        <w:t xml:space="preserve"> </w:t>
      </w:r>
      <w:hyperlink r:id="rId19" w:tooltip="Toute l’actualité social" w:history="1">
        <w:r w:rsidRPr="008E5BBC">
          <w:rPr>
            <w:rStyle w:val="Lienhypertexte"/>
            <w:bCs/>
            <w:color w:val="auto"/>
            <w:sz w:val="20"/>
            <w:u w:val="none"/>
          </w:rPr>
          <w:t>social</w:t>
        </w:r>
      </w:hyperlink>
      <w:r w:rsidRPr="008E5BBC">
        <w:rPr>
          <w:bCs/>
          <w:sz w:val="20"/>
        </w:rPr>
        <w:t>, des familles les plus modestes.</w:t>
      </w:r>
    </w:p>
    <w:p w:rsidR="009D26DC" w:rsidRPr="008E5BBC" w:rsidRDefault="009D26DC" w:rsidP="00EC585C">
      <w:pPr>
        <w:rPr>
          <w:sz w:val="20"/>
        </w:rPr>
      </w:pPr>
      <w:r w:rsidRPr="008E5BBC">
        <w:rPr>
          <w:sz w:val="20"/>
        </w:rPr>
        <w:t xml:space="preserve">Le texte institue ainsi un quota, hors </w:t>
      </w:r>
      <w:r w:rsidR="00A05DB8">
        <w:rPr>
          <w:sz w:val="20"/>
        </w:rPr>
        <w:t>Q</w:t>
      </w:r>
      <w:r w:rsidRPr="008E5BBC">
        <w:rPr>
          <w:sz w:val="20"/>
        </w:rPr>
        <w:t>uartiers prioritaires de la ville (QPV), de 25% de logements sociaux à</w:t>
      </w:r>
      <w:r w:rsidR="00917E49">
        <w:rPr>
          <w:sz w:val="20"/>
        </w:rPr>
        <w:t xml:space="preserve"> </w:t>
      </w:r>
      <w:hyperlink r:id="rId20" w:tgtFrame="_blank" w:tooltip="Conjugaison du verbe réserver" w:history="1">
        <w:r w:rsidRPr="008E5BBC">
          <w:rPr>
            <w:rStyle w:val="Lienhypertexte"/>
            <w:color w:val="auto"/>
            <w:sz w:val="20"/>
            <w:u w:val="none"/>
          </w:rPr>
          <w:t>réserver</w:t>
        </w:r>
      </w:hyperlink>
      <w:r w:rsidR="00917E49">
        <w:rPr>
          <w:sz w:val="20"/>
        </w:rPr>
        <w:t xml:space="preserve"> </w:t>
      </w:r>
      <w:r w:rsidRPr="008E5BBC">
        <w:rPr>
          <w:sz w:val="20"/>
        </w:rPr>
        <w:t>aux familles aux revenus les plus faibles. Dans le même esprit, le fameux article</w:t>
      </w:r>
      <w:r w:rsidR="00917E49">
        <w:rPr>
          <w:sz w:val="20"/>
        </w:rPr>
        <w:t xml:space="preserve"> </w:t>
      </w:r>
      <w:r w:rsidRPr="008E5BBC">
        <w:rPr>
          <w:sz w:val="20"/>
        </w:rPr>
        <w:t>55 de la loi SRU du 13</w:t>
      </w:r>
      <w:r w:rsidR="00917E49">
        <w:rPr>
          <w:sz w:val="20"/>
        </w:rPr>
        <w:t xml:space="preserve"> </w:t>
      </w:r>
      <w:r w:rsidRPr="008E5BBC">
        <w:rPr>
          <w:sz w:val="20"/>
        </w:rPr>
        <w:t>décembre 2000 obligeait les communes urbaines à se</w:t>
      </w:r>
      <w:r w:rsidR="00917E49">
        <w:rPr>
          <w:sz w:val="20"/>
        </w:rPr>
        <w:t xml:space="preserve"> </w:t>
      </w:r>
      <w:hyperlink r:id="rId21" w:tgtFrame="_blank" w:tooltip="Conjugaison du verbe doter" w:history="1">
        <w:r w:rsidRPr="008E5BBC">
          <w:rPr>
            <w:rStyle w:val="Lienhypertexte"/>
            <w:color w:val="auto"/>
            <w:sz w:val="20"/>
            <w:u w:val="none"/>
          </w:rPr>
          <w:t>doter</w:t>
        </w:r>
      </w:hyperlink>
      <w:r w:rsidRPr="008E5BBC">
        <w:rPr>
          <w:sz w:val="20"/>
        </w:rPr>
        <w:t>, d’ici à 2025, d’un parc social d’au moins 25% du nombre de leurs résidences principales.</w:t>
      </w:r>
    </w:p>
    <w:p w:rsidR="009D26DC" w:rsidRPr="008E5BBC" w:rsidRDefault="009D26DC" w:rsidP="00EC585C">
      <w:r w:rsidRPr="008E5BBC">
        <w:rPr>
          <w:i/>
          <w:iCs/>
        </w:rPr>
        <w:t>« Cette loi est une recentralisation, une renationalisation qui dit où et comment les Français doivent</w:t>
      </w:r>
      <w:r w:rsidR="00917E49">
        <w:rPr>
          <w:i/>
          <w:iCs/>
        </w:rPr>
        <w:t xml:space="preserve"> </w:t>
      </w:r>
      <w:hyperlink r:id="rId22" w:tgtFrame="_blank" w:tooltip="Conjugaison du verbe être" w:history="1">
        <w:r w:rsidRPr="008E5BBC">
          <w:rPr>
            <w:rStyle w:val="Lienhypertexte"/>
            <w:i/>
            <w:iCs/>
            <w:color w:val="auto"/>
            <w:sz w:val="20"/>
            <w:u w:val="none"/>
          </w:rPr>
          <w:t>être</w:t>
        </w:r>
      </w:hyperlink>
      <w:r w:rsidR="00917E49">
        <w:t xml:space="preserve"> </w:t>
      </w:r>
      <w:r w:rsidRPr="008E5BBC">
        <w:rPr>
          <w:i/>
          <w:iCs/>
        </w:rPr>
        <w:t>logés »</w:t>
      </w:r>
      <w:r w:rsidRPr="008E5BBC">
        <w:t>, attaque Sylvain Berrios, député et maire (LR) de Saint-Maur-des-Fossés (Val-de-Marne), commune de 75 000 habitants qui compte environ 3</w:t>
      </w:r>
      <w:r w:rsidR="00917E49">
        <w:t> </w:t>
      </w:r>
      <w:r w:rsidRPr="008E5BBC">
        <w:t>000</w:t>
      </w:r>
      <w:r w:rsidR="00917E49">
        <w:t xml:space="preserve"> </w:t>
      </w:r>
      <w:r w:rsidRPr="008E5BBC">
        <w:t>demandeurs d’une HLM et est épinglée à chaque bilan triennal de la loi SRU pour ses carences en logements sociaux, dont le nombre n’a augmenté que de 1% en quinze ans, passant de 6% à 7%.</w:t>
      </w:r>
      <w:r w:rsidR="00917E49">
        <w:t xml:space="preserve"> </w:t>
      </w:r>
      <w:r w:rsidRPr="008E5BBC">
        <w:rPr>
          <w:i/>
          <w:iCs/>
        </w:rPr>
        <w:t>« Pour moi, il n’y a que 10% à 12% de la</w:t>
      </w:r>
      <w:r w:rsidR="00917E49">
        <w:rPr>
          <w:i/>
          <w:iCs/>
        </w:rPr>
        <w:t xml:space="preserve"> </w:t>
      </w:r>
      <w:hyperlink r:id="rId23" w:tooltip="Toute l’actualité population" w:history="1">
        <w:r w:rsidRPr="008E5BBC">
          <w:rPr>
            <w:rStyle w:val="Lienhypertexte"/>
            <w:i/>
            <w:iCs/>
            <w:color w:val="auto"/>
            <w:sz w:val="20"/>
            <w:u w:val="none"/>
          </w:rPr>
          <w:t>population</w:t>
        </w:r>
      </w:hyperlink>
      <w:r w:rsidR="00917E49">
        <w:t xml:space="preserve"> </w:t>
      </w:r>
      <w:r w:rsidRPr="008E5BBC">
        <w:rPr>
          <w:i/>
          <w:iCs/>
        </w:rPr>
        <w:t>qui a besoin d’être aidée pour se</w:t>
      </w:r>
      <w:r w:rsidR="007010F2">
        <w:rPr>
          <w:i/>
          <w:iCs/>
        </w:rPr>
        <w:t xml:space="preserve"> </w:t>
      </w:r>
      <w:hyperlink r:id="rId24" w:tgtFrame="_blank" w:tooltip="Conjugaison du verbe loger" w:history="1">
        <w:r w:rsidRPr="008E5BBC">
          <w:rPr>
            <w:rStyle w:val="Lienhypertexte"/>
            <w:i/>
            <w:iCs/>
            <w:color w:val="auto"/>
            <w:sz w:val="20"/>
            <w:u w:val="none"/>
          </w:rPr>
          <w:t>loger</w:t>
        </w:r>
      </w:hyperlink>
      <w:r w:rsidRPr="008E5BBC">
        <w:rPr>
          <w:i/>
          <w:iCs/>
        </w:rPr>
        <w:t>.</w:t>
      </w:r>
      <w:r w:rsidR="007010F2">
        <w:rPr>
          <w:i/>
          <w:iCs/>
        </w:rPr>
        <w:t xml:space="preserve"> </w:t>
      </w:r>
      <w:hyperlink r:id="rId25" w:tgtFrame="_blank" w:tooltip="Conjugaison du verbe faire" w:history="1">
        <w:r w:rsidRPr="008E5BBC">
          <w:rPr>
            <w:rStyle w:val="Lienhypertexte"/>
            <w:i/>
            <w:iCs/>
            <w:color w:val="auto"/>
            <w:sz w:val="20"/>
            <w:u w:val="none"/>
          </w:rPr>
          <w:t>Faire</w:t>
        </w:r>
      </w:hyperlink>
      <w:r w:rsidR="007010F2">
        <w:t xml:space="preserve"> </w:t>
      </w:r>
      <w:hyperlink r:id="rId26" w:tgtFrame="_blank" w:tooltip="Conjugaison du verbe croire" w:history="1">
        <w:r w:rsidRPr="008E5BBC">
          <w:rPr>
            <w:rStyle w:val="Lienhypertexte"/>
            <w:i/>
            <w:iCs/>
            <w:color w:val="auto"/>
            <w:sz w:val="20"/>
            <w:u w:val="none"/>
          </w:rPr>
          <w:t>croire</w:t>
        </w:r>
      </w:hyperlink>
      <w:r w:rsidR="007010F2">
        <w:t xml:space="preserve"> </w:t>
      </w:r>
      <w:r w:rsidRPr="008E5BBC">
        <w:rPr>
          <w:i/>
          <w:iCs/>
        </w:rPr>
        <w:t>aux Français que deux tiers d’entre eux peuvent</w:t>
      </w:r>
      <w:r w:rsidR="007010F2">
        <w:rPr>
          <w:i/>
          <w:iCs/>
        </w:rPr>
        <w:t xml:space="preserve"> </w:t>
      </w:r>
      <w:hyperlink r:id="rId27" w:tgtFrame="_blank" w:tooltip="Conjugaison du verbe accéder" w:history="1">
        <w:r w:rsidRPr="008E5BBC">
          <w:rPr>
            <w:rStyle w:val="Lienhypertexte"/>
            <w:i/>
            <w:iCs/>
            <w:color w:val="auto"/>
            <w:sz w:val="20"/>
            <w:u w:val="none"/>
          </w:rPr>
          <w:t>accéder</w:t>
        </w:r>
      </w:hyperlink>
      <w:r w:rsidR="007010F2">
        <w:t xml:space="preserve"> </w:t>
      </w:r>
      <w:r w:rsidRPr="008E5BBC">
        <w:rPr>
          <w:i/>
          <w:iCs/>
        </w:rPr>
        <w:t>au logement social, c’est un mensonge d’</w:t>
      </w:r>
      <w:r w:rsidR="007010F2" w:rsidRPr="008E5BBC">
        <w:rPr>
          <w:i/>
          <w:iCs/>
        </w:rPr>
        <w:t>État</w:t>
      </w:r>
      <w:r w:rsidRPr="008E5BBC">
        <w:rPr>
          <w:i/>
          <w:iCs/>
        </w:rPr>
        <w:t>,</w:t>
      </w:r>
      <w:r w:rsidR="007010F2">
        <w:t xml:space="preserve"> </w:t>
      </w:r>
      <w:r w:rsidRPr="008E5BBC">
        <w:t>renchérit-il.</w:t>
      </w:r>
      <w:r w:rsidR="007010F2">
        <w:t xml:space="preserve"> </w:t>
      </w:r>
      <w:r w:rsidRPr="008E5BBC">
        <w:rPr>
          <w:i/>
          <w:iCs/>
        </w:rPr>
        <w:t>Je refuse cette vision qui m’empêche de</w:t>
      </w:r>
      <w:r w:rsidR="007010F2">
        <w:rPr>
          <w:i/>
          <w:iCs/>
        </w:rPr>
        <w:t xml:space="preserve"> </w:t>
      </w:r>
      <w:hyperlink r:id="rId28" w:tgtFrame="_blank" w:tooltip="Conjugaison du verbe construire" w:history="1">
        <w:r w:rsidRPr="008E5BBC">
          <w:rPr>
            <w:rStyle w:val="Lienhypertexte"/>
            <w:i/>
            <w:iCs/>
            <w:color w:val="auto"/>
            <w:sz w:val="20"/>
            <w:u w:val="none"/>
          </w:rPr>
          <w:t>construire</w:t>
        </w:r>
      </w:hyperlink>
      <w:r w:rsidR="007010F2">
        <w:t xml:space="preserve"> </w:t>
      </w:r>
      <w:r w:rsidRPr="008E5BBC">
        <w:rPr>
          <w:i/>
          <w:iCs/>
        </w:rPr>
        <w:t>du parc privé et m’oblige à densifier ma ville. »</w:t>
      </w:r>
    </w:p>
    <w:p w:rsidR="009D26DC" w:rsidRPr="008E5BBC" w:rsidRDefault="009D26DC" w:rsidP="00B81DED">
      <w:pPr>
        <w:pStyle w:val="Titre3"/>
      </w:pPr>
      <w:bookmarkStart w:id="27" w:name="_Toc509327129"/>
      <w:bookmarkStart w:id="28" w:name="_Toc509327220"/>
      <w:r w:rsidRPr="008E5BBC">
        <w:t>« Ghettoïsation »</w:t>
      </w:r>
      <w:bookmarkEnd w:id="27"/>
      <w:bookmarkEnd w:id="28"/>
    </w:p>
    <w:p w:rsidR="00DF0983" w:rsidRPr="008E5BBC" w:rsidRDefault="00DF0983" w:rsidP="00EC585C">
      <w:pPr>
        <w:rPr>
          <w:sz w:val="20"/>
        </w:rPr>
      </w:pPr>
      <w:r w:rsidRPr="008E5BBC">
        <w:rPr>
          <w:sz w:val="20"/>
        </w:rPr>
        <w:t>Pour</w:t>
      </w:r>
      <w:r w:rsidR="007010F2">
        <w:rPr>
          <w:sz w:val="20"/>
        </w:rPr>
        <w:t xml:space="preserve"> </w:t>
      </w:r>
      <w:hyperlink r:id="rId29" w:tgtFrame="_blank" w:tooltip="Conjugaison du verbe rattraper" w:history="1">
        <w:r w:rsidRPr="008E5BBC">
          <w:rPr>
            <w:rStyle w:val="Lienhypertexte"/>
            <w:color w:val="auto"/>
            <w:sz w:val="20"/>
            <w:u w:val="none"/>
          </w:rPr>
          <w:t>rattraper</w:t>
        </w:r>
      </w:hyperlink>
      <w:r w:rsidR="007010F2">
        <w:rPr>
          <w:sz w:val="20"/>
        </w:rPr>
        <w:t xml:space="preserve"> </w:t>
      </w:r>
      <w:r w:rsidRPr="008E5BBC">
        <w:rPr>
          <w:sz w:val="20"/>
        </w:rPr>
        <w:t>son retard, Saint-Maur devrait</w:t>
      </w:r>
      <w:r w:rsidR="007010F2">
        <w:rPr>
          <w:sz w:val="20"/>
        </w:rPr>
        <w:t xml:space="preserve"> </w:t>
      </w:r>
      <w:hyperlink r:id="rId30" w:tgtFrame="_blank" w:tooltip="Conjugaison du verbe bâtir" w:history="1">
        <w:r w:rsidRPr="008E5BBC">
          <w:rPr>
            <w:rStyle w:val="Lienhypertexte"/>
            <w:color w:val="auto"/>
            <w:sz w:val="20"/>
            <w:u w:val="none"/>
          </w:rPr>
          <w:t>bâtir</w:t>
        </w:r>
      </w:hyperlink>
      <w:r w:rsidR="007010F2">
        <w:rPr>
          <w:sz w:val="20"/>
        </w:rPr>
        <w:t xml:space="preserve"> </w:t>
      </w:r>
      <w:r w:rsidRPr="008E5BBC">
        <w:rPr>
          <w:sz w:val="20"/>
        </w:rPr>
        <w:t>1</w:t>
      </w:r>
      <w:r w:rsidR="00707C59">
        <w:rPr>
          <w:sz w:val="20"/>
        </w:rPr>
        <w:t> </w:t>
      </w:r>
      <w:r w:rsidRPr="008E5BBC">
        <w:rPr>
          <w:sz w:val="20"/>
        </w:rPr>
        <w:t>577</w:t>
      </w:r>
      <w:r w:rsidR="00707C59">
        <w:rPr>
          <w:sz w:val="20"/>
        </w:rPr>
        <w:t xml:space="preserve"> </w:t>
      </w:r>
      <w:r w:rsidRPr="008E5BBC">
        <w:rPr>
          <w:sz w:val="20"/>
        </w:rPr>
        <w:t>logements sociaux d’ici à 2017. Son maire a cependant l’intention de n’en</w:t>
      </w:r>
      <w:r w:rsidR="00707C59">
        <w:rPr>
          <w:sz w:val="20"/>
        </w:rPr>
        <w:t xml:space="preserve"> </w:t>
      </w:r>
      <w:hyperlink r:id="rId31" w:tgtFrame="_blank" w:tooltip="Conjugaison du verbe édifier" w:history="1">
        <w:r w:rsidRPr="008E5BBC">
          <w:rPr>
            <w:rStyle w:val="Lienhypertexte"/>
            <w:color w:val="auto"/>
            <w:sz w:val="20"/>
            <w:u w:val="none"/>
          </w:rPr>
          <w:t>édifier</w:t>
        </w:r>
      </w:hyperlink>
      <w:r w:rsidR="00707C59">
        <w:rPr>
          <w:sz w:val="20"/>
        </w:rPr>
        <w:t xml:space="preserve"> </w:t>
      </w:r>
      <w:r w:rsidRPr="008E5BBC">
        <w:rPr>
          <w:sz w:val="20"/>
        </w:rPr>
        <w:t>que 500, en dépit des sanctions financières appliquées, de 3,5</w:t>
      </w:r>
      <w:r w:rsidR="00707C59">
        <w:rPr>
          <w:sz w:val="20"/>
        </w:rPr>
        <w:t xml:space="preserve"> </w:t>
      </w:r>
      <w:r w:rsidRPr="008E5BBC">
        <w:rPr>
          <w:sz w:val="20"/>
        </w:rPr>
        <w:t>millions d’euros par an, sur un budget municipal de 150</w:t>
      </w:r>
      <w:r w:rsidR="00707C59">
        <w:rPr>
          <w:sz w:val="20"/>
        </w:rPr>
        <w:t xml:space="preserve"> </w:t>
      </w:r>
      <w:r w:rsidRPr="008E5BBC">
        <w:rPr>
          <w:sz w:val="20"/>
        </w:rPr>
        <w:t>millions d’euros.</w:t>
      </w:r>
    </w:p>
    <w:p w:rsidR="009D26DC" w:rsidRPr="008E5BBC" w:rsidRDefault="009D26DC" w:rsidP="00EC585C">
      <w:r w:rsidRPr="008E5BBC">
        <w:t xml:space="preserve">Quant aux relogements, à Saint-Maur-des-Fossés, des familles éligibles au droit au logement opposable (Dalo), seules </w:t>
      </w:r>
      <w:r w:rsidR="00707C59">
        <w:t>douze</w:t>
      </w:r>
      <w:r w:rsidRPr="008E5BBC">
        <w:t xml:space="preserve"> en ont bénéficié, dans le parc municipal, entre 2010 et 2013, soit 10% à 15%, loin des 22,7% auxquels s’était engagée la ville dans une convention d’utilité sociale signée, en</w:t>
      </w:r>
      <w:r w:rsidR="00707C59">
        <w:t xml:space="preserve"> </w:t>
      </w:r>
      <w:r w:rsidRPr="008E5BBC">
        <w:t>2011, avec l’</w:t>
      </w:r>
      <w:r w:rsidR="00707C59" w:rsidRPr="008E5BBC">
        <w:t>État</w:t>
      </w:r>
      <w:r w:rsidRPr="008E5BBC">
        <w:t>. De telles conventions ont été introduites, en</w:t>
      </w:r>
      <w:r w:rsidR="00707C59">
        <w:t xml:space="preserve"> </w:t>
      </w:r>
      <w:r w:rsidRPr="008E5BBC">
        <w:t>2009, par</w:t>
      </w:r>
      <w:r w:rsidR="00707C59">
        <w:t xml:space="preserve"> </w:t>
      </w:r>
      <w:hyperlink r:id="rId32" w:tooltip="Toute l’actualité Christine Boutin" w:history="1">
        <w:r w:rsidRPr="008E5BBC">
          <w:rPr>
            <w:rStyle w:val="Lienhypertexte"/>
            <w:color w:val="auto"/>
            <w:sz w:val="20"/>
            <w:u w:val="none"/>
          </w:rPr>
          <w:t>Christine Boutin</w:t>
        </w:r>
      </w:hyperlink>
      <w:r w:rsidRPr="008E5BBC">
        <w:t>, alors ministre du gouvernement Fillon, avec sa loi de mobilisation pour le logement et de lutte contre l’</w:t>
      </w:r>
      <w:hyperlink r:id="rId33" w:tooltip="Toute l’actualité exclusion" w:history="1">
        <w:r w:rsidRPr="008E5BBC">
          <w:rPr>
            <w:rStyle w:val="Lienhypertexte"/>
            <w:color w:val="auto"/>
            <w:sz w:val="20"/>
            <w:u w:val="none"/>
          </w:rPr>
          <w:t>exclusion</w:t>
        </w:r>
      </w:hyperlink>
      <w:r w:rsidRPr="008E5BBC">
        <w:t>.</w:t>
      </w:r>
      <w:r w:rsidR="00707C59">
        <w:t xml:space="preserve"> </w:t>
      </w:r>
      <w:r w:rsidRPr="008E5BBC">
        <w:rPr>
          <w:i/>
          <w:iCs/>
        </w:rPr>
        <w:t>« Les Dalo sont toujours affectés dans le même quartier de Saint-Maur, celui des Rives de la Marne, déjà QPV et menacé, à force, de ghettoïsation, et l’</w:t>
      </w:r>
      <w:r w:rsidR="00707C59" w:rsidRPr="008E5BBC">
        <w:rPr>
          <w:i/>
          <w:iCs/>
        </w:rPr>
        <w:t>État</w:t>
      </w:r>
      <w:r w:rsidRPr="008E5BBC">
        <w:rPr>
          <w:i/>
          <w:iCs/>
        </w:rPr>
        <w:t xml:space="preserve"> n’y est pour rien puisque c’est la ville qui ne fait pas, depuis des années, l’effort de</w:t>
      </w:r>
      <w:r w:rsidR="008F1E29">
        <w:rPr>
          <w:i/>
          <w:iCs/>
        </w:rPr>
        <w:t xml:space="preserve"> </w:t>
      </w:r>
      <w:hyperlink r:id="rId34" w:tgtFrame="_blank" w:tooltip="Conjugaison du verbe produire" w:history="1">
        <w:r w:rsidRPr="008E5BBC">
          <w:rPr>
            <w:rStyle w:val="Lienhypertexte"/>
            <w:i/>
            <w:iCs/>
            <w:color w:val="auto"/>
            <w:sz w:val="20"/>
            <w:u w:val="none"/>
          </w:rPr>
          <w:t>produire</w:t>
        </w:r>
      </w:hyperlink>
      <w:r w:rsidR="008F1E29">
        <w:t xml:space="preserve"> </w:t>
      </w:r>
      <w:r w:rsidRPr="008E5BBC">
        <w:rPr>
          <w:i/>
          <w:iCs/>
        </w:rPr>
        <w:t>une nouvelle offre ailleurs »</w:t>
      </w:r>
      <w:r w:rsidRPr="008E5BBC">
        <w:t>, s’inquiète Denis Laurent,</w:t>
      </w:r>
      <w:r w:rsidR="008F1E29">
        <w:t xml:space="preserve"> </w:t>
      </w:r>
      <w:hyperlink r:id="rId35" w:tgtFrame="_blank" w:tooltip="Conjugaison du verbe conseiller" w:history="1">
        <w:r w:rsidRPr="008E5BBC">
          <w:rPr>
            <w:rStyle w:val="Lienhypertexte"/>
            <w:color w:val="auto"/>
            <w:sz w:val="20"/>
            <w:u w:val="none"/>
          </w:rPr>
          <w:t>conseiller</w:t>
        </w:r>
      </w:hyperlink>
      <w:r w:rsidR="008F1E29">
        <w:t xml:space="preserve"> </w:t>
      </w:r>
      <w:r w:rsidRPr="008E5BBC">
        <w:t>municipal d’opposition (</w:t>
      </w:r>
      <w:hyperlink r:id="rId36" w:tooltip="Toute l’actualité EELV" w:history="1">
        <w:r w:rsidRPr="008E5BBC">
          <w:rPr>
            <w:rStyle w:val="Lienhypertexte"/>
            <w:color w:val="auto"/>
            <w:sz w:val="20"/>
            <w:u w:val="none"/>
          </w:rPr>
          <w:t>EELV</w:t>
        </w:r>
      </w:hyperlink>
      <w:r w:rsidRPr="008E5BBC">
        <w:t>).</w:t>
      </w:r>
    </w:p>
    <w:p w:rsidR="009D26DC" w:rsidRPr="008E5BBC" w:rsidRDefault="009D26DC" w:rsidP="00EC585C">
      <w:r w:rsidRPr="008E5BBC">
        <w:t>De la même manière, l’office public de Courbevoie (Hauts-de-Seine), ville située dans le périmètre du quartier d’affaires de La</w:t>
      </w:r>
      <w:r w:rsidR="005C46A8">
        <w:t xml:space="preserve"> </w:t>
      </w:r>
      <w:hyperlink r:id="rId37" w:tooltip="Toute l’actualité Défense" w:history="1">
        <w:r w:rsidRPr="008E5BBC">
          <w:rPr>
            <w:rStyle w:val="Lienhypertexte"/>
            <w:color w:val="auto"/>
            <w:sz w:val="20"/>
            <w:u w:val="none"/>
          </w:rPr>
          <w:t>Défense</w:t>
        </w:r>
      </w:hyperlink>
      <w:r w:rsidRPr="008E5BBC">
        <w:t>, n’a, entre 2009 et 2011, relogé que 33</w:t>
      </w:r>
      <w:r w:rsidR="005C46A8">
        <w:t xml:space="preserve"> </w:t>
      </w:r>
      <w:r w:rsidRPr="008E5BBC">
        <w:t xml:space="preserve">familles prioritaires, dont </w:t>
      </w:r>
      <w:r w:rsidR="00707C59">
        <w:t xml:space="preserve">neuf </w:t>
      </w:r>
      <w:r w:rsidRPr="008E5BBC">
        <w:t>Dalo, alors qu’il s’était engagé, toujours par convention avec l’</w:t>
      </w:r>
      <w:r w:rsidR="005C46A8" w:rsidRPr="008E5BBC">
        <w:t>État</w:t>
      </w:r>
      <w:r w:rsidRPr="008E5BBC">
        <w:t>, à en</w:t>
      </w:r>
      <w:r w:rsidR="005C46A8">
        <w:t xml:space="preserve"> </w:t>
      </w:r>
      <w:hyperlink r:id="rId38" w:tgtFrame="_blank" w:tooltip="Conjugaison du verbe reloger" w:history="1">
        <w:r w:rsidRPr="008E5BBC">
          <w:rPr>
            <w:rStyle w:val="Lienhypertexte"/>
            <w:color w:val="auto"/>
            <w:sz w:val="20"/>
            <w:u w:val="none"/>
          </w:rPr>
          <w:t>reloger</w:t>
        </w:r>
      </w:hyperlink>
      <w:r w:rsidR="005C46A8">
        <w:t xml:space="preserve"> </w:t>
      </w:r>
      <w:r w:rsidRPr="008E5BBC">
        <w:t>121. Sa voisine, Puteaux, plus riche encore, a réussi à</w:t>
      </w:r>
      <w:r w:rsidR="005C46A8">
        <w:t xml:space="preserve"> </w:t>
      </w:r>
      <w:hyperlink r:id="rId39" w:tgtFrame="_blank" w:tooltip="Conjugaison du verbe faire" w:history="1">
        <w:r w:rsidRPr="008E5BBC">
          <w:rPr>
            <w:rStyle w:val="Lienhypertexte"/>
            <w:color w:val="auto"/>
            <w:sz w:val="20"/>
            <w:u w:val="none"/>
          </w:rPr>
          <w:t>faire</w:t>
        </w:r>
      </w:hyperlink>
      <w:r w:rsidR="005C46A8">
        <w:t xml:space="preserve"> </w:t>
      </w:r>
      <w:r w:rsidRPr="008E5BBC">
        <w:t>moins bien : sur les 1</w:t>
      </w:r>
      <w:r w:rsidR="005C46A8">
        <w:t> </w:t>
      </w:r>
      <w:r w:rsidRPr="008E5BBC">
        <w:t>396</w:t>
      </w:r>
      <w:r w:rsidR="005C46A8">
        <w:t xml:space="preserve"> </w:t>
      </w:r>
      <w:r w:rsidRPr="008E5BBC">
        <w:t>attributions réalisées entre 2009 et 2013, seules 30 (2,15%) ont bénéficié aux familles Dalo.</w:t>
      </w:r>
    </w:p>
    <w:p w:rsidR="009D26DC" w:rsidRPr="008E5BBC" w:rsidRDefault="009D26DC" w:rsidP="00EC585C">
      <w:r w:rsidRPr="008E5BBC">
        <w:t>Malakoff (Hauts-de-Seine) fait, elle,</w:t>
      </w:r>
      <w:r w:rsidR="005C46A8">
        <w:t xml:space="preserve"> </w:t>
      </w:r>
      <w:hyperlink r:id="rId40" w:tgtFrame="_blank" w:tooltip="Conjugaison du verbe jouer" w:history="1">
        <w:r w:rsidRPr="008E5BBC">
          <w:rPr>
            <w:rStyle w:val="Lienhypertexte"/>
            <w:color w:val="auto"/>
            <w:sz w:val="20"/>
            <w:u w:val="none"/>
          </w:rPr>
          <w:t>jouer</w:t>
        </w:r>
      </w:hyperlink>
      <w:r w:rsidR="005C46A8">
        <w:t xml:space="preserve"> </w:t>
      </w:r>
      <w:r w:rsidRPr="008E5BBC">
        <w:t>la préférence communale et ne consent, selon un rapport de 2013 de l’organisme de contrôle du logement social, à reloger que les ménages qui habitent déjà la commune. L’office public HLM d’Arcueil et Gentilly (Val-de-Marne), Opaly, n’a consacré, en</w:t>
      </w:r>
      <w:r w:rsidR="005C46A8">
        <w:t xml:space="preserve"> </w:t>
      </w:r>
      <w:r w:rsidRPr="008E5BBC">
        <w:t>2011 et 2012, que respectivement 2% et 5,2% de ses attributions aux Dalo, avant de se</w:t>
      </w:r>
      <w:r w:rsidR="005C46A8">
        <w:t xml:space="preserve"> </w:t>
      </w:r>
      <w:hyperlink r:id="rId41" w:tgtFrame="_blank" w:tooltip="Conjugaison du verbe reprendre" w:history="1">
        <w:r w:rsidRPr="008E5BBC">
          <w:rPr>
            <w:rStyle w:val="Lienhypertexte"/>
            <w:color w:val="auto"/>
            <w:sz w:val="20"/>
            <w:u w:val="none"/>
          </w:rPr>
          <w:t>reprendre</w:t>
        </w:r>
      </w:hyperlink>
      <w:r w:rsidR="005C46A8">
        <w:t xml:space="preserve"> </w:t>
      </w:r>
      <w:r w:rsidRPr="008E5BBC">
        <w:t>en</w:t>
      </w:r>
      <w:r w:rsidR="005C46A8">
        <w:t xml:space="preserve"> </w:t>
      </w:r>
      <w:r w:rsidRPr="008E5BBC">
        <w:t>2013 et 2014, sans toutefois</w:t>
      </w:r>
      <w:r w:rsidR="005C46A8">
        <w:t xml:space="preserve"> </w:t>
      </w:r>
      <w:hyperlink r:id="rId42" w:tgtFrame="_blank" w:tooltip="Conjugaison du verbe atteindre" w:history="1">
        <w:r w:rsidRPr="008E5BBC">
          <w:rPr>
            <w:rStyle w:val="Lienhypertexte"/>
            <w:color w:val="auto"/>
            <w:sz w:val="20"/>
            <w:u w:val="none"/>
          </w:rPr>
          <w:t>atteindre</w:t>
        </w:r>
      </w:hyperlink>
      <w:r w:rsidR="005C46A8">
        <w:t xml:space="preserve"> </w:t>
      </w:r>
      <w:r w:rsidRPr="008E5BBC">
        <w:t>les 15% promis.</w:t>
      </w:r>
    </w:p>
    <w:p w:rsidR="009D26DC" w:rsidRPr="008E5BBC" w:rsidRDefault="00135172" w:rsidP="00EC585C">
      <w:pPr>
        <w:rPr>
          <w:sz w:val="20"/>
        </w:rPr>
      </w:pPr>
      <w:r w:rsidRPr="008E5BBC">
        <w:rPr>
          <w:sz w:val="20"/>
        </w:rPr>
        <w:lastRenderedPageBreak/>
        <w:t>À</w:t>
      </w:r>
      <w:r w:rsidR="009D26DC" w:rsidRPr="008E5BBC">
        <w:rPr>
          <w:sz w:val="20"/>
        </w:rPr>
        <w:t xml:space="preserve"> Noisy-le-Sec (Seine-</w:t>
      </w:r>
      <w:hyperlink r:id="rId43" w:tooltip="Toute l’actualité Saint-Denis" w:history="1">
        <w:r w:rsidR="009D26DC" w:rsidRPr="008E5BBC">
          <w:rPr>
            <w:rStyle w:val="Lienhypertexte"/>
            <w:color w:val="auto"/>
            <w:sz w:val="20"/>
            <w:u w:val="none"/>
          </w:rPr>
          <w:t>Saint-Denis</w:t>
        </w:r>
      </w:hyperlink>
      <w:r w:rsidR="009D26DC" w:rsidRPr="008E5BBC">
        <w:rPr>
          <w:sz w:val="20"/>
        </w:rPr>
        <w:t>), l’office public HLM s’est aussi fait</w:t>
      </w:r>
      <w:r w:rsidR="005C46A8">
        <w:rPr>
          <w:sz w:val="20"/>
        </w:rPr>
        <w:t xml:space="preserve"> </w:t>
      </w:r>
      <w:hyperlink r:id="rId44" w:tgtFrame="_blank" w:tooltip="Conjugaison du verbe épingler" w:history="1">
        <w:r w:rsidR="009D26DC" w:rsidRPr="008E5BBC">
          <w:rPr>
            <w:rStyle w:val="Lienhypertexte"/>
            <w:color w:val="auto"/>
            <w:sz w:val="20"/>
            <w:u w:val="none"/>
          </w:rPr>
          <w:t>épingler</w:t>
        </w:r>
      </w:hyperlink>
      <w:r w:rsidR="005C46A8">
        <w:rPr>
          <w:sz w:val="20"/>
        </w:rPr>
        <w:t xml:space="preserve"> </w:t>
      </w:r>
      <w:r w:rsidR="009D26DC" w:rsidRPr="008E5BBC">
        <w:rPr>
          <w:sz w:val="20"/>
        </w:rPr>
        <w:t>pour</w:t>
      </w:r>
      <w:r w:rsidR="005C46A8">
        <w:rPr>
          <w:sz w:val="20"/>
        </w:rPr>
        <w:t xml:space="preserve"> </w:t>
      </w:r>
      <w:hyperlink r:id="rId45" w:tgtFrame="_blank" w:tooltip="Conjugaison du verbe avoir" w:history="1">
        <w:r w:rsidR="009D26DC" w:rsidRPr="008E5BBC">
          <w:rPr>
            <w:rStyle w:val="Lienhypertexte"/>
            <w:color w:val="auto"/>
            <w:sz w:val="20"/>
            <w:u w:val="none"/>
          </w:rPr>
          <w:t>avoir</w:t>
        </w:r>
      </w:hyperlink>
      <w:r w:rsidR="005C46A8">
        <w:rPr>
          <w:sz w:val="20"/>
        </w:rPr>
        <w:t xml:space="preserve"> </w:t>
      </w:r>
      <w:r w:rsidR="009D26DC" w:rsidRPr="008E5BBC">
        <w:rPr>
          <w:sz w:val="20"/>
        </w:rPr>
        <w:t xml:space="preserve">trop peu construit et ne pas avoir signalé au préfet les </w:t>
      </w:r>
      <w:r w:rsidR="00A05DB8">
        <w:rPr>
          <w:sz w:val="20"/>
        </w:rPr>
        <w:t>dix-neuf</w:t>
      </w:r>
      <w:r w:rsidR="009D26DC" w:rsidRPr="008E5BBC">
        <w:rPr>
          <w:sz w:val="20"/>
        </w:rPr>
        <w:t xml:space="preserve"> logements de son contingent qui se libéraient, ne relogeant, en outre, de 2012 à 2013, que </w:t>
      </w:r>
      <w:r w:rsidR="005C46A8">
        <w:rPr>
          <w:sz w:val="20"/>
        </w:rPr>
        <w:t>vingt</w:t>
      </w:r>
      <w:r w:rsidR="009D26DC" w:rsidRPr="008E5BBC">
        <w:rPr>
          <w:sz w:val="20"/>
        </w:rPr>
        <w:t xml:space="preserve"> familles éligibles au Dalo parmi 257 attributions.</w:t>
      </w:r>
      <w:r w:rsidR="005C46A8">
        <w:rPr>
          <w:sz w:val="20"/>
        </w:rPr>
        <w:t xml:space="preserve"> </w:t>
      </w:r>
      <w:r w:rsidR="009D26DC" w:rsidRPr="008E5BBC">
        <w:rPr>
          <w:i/>
          <w:iCs/>
          <w:sz w:val="20"/>
        </w:rPr>
        <w:t>« Noisy-le-Sec compte 45% de logements sociaux</w:t>
      </w:r>
      <w:r w:rsidR="009D26DC" w:rsidRPr="008E5BBC">
        <w:rPr>
          <w:sz w:val="20"/>
        </w:rPr>
        <w:t>, se défend Sébastien Moulinat-Kergoat, directeur général délégué de Noisy-le-Sec</w:t>
      </w:r>
      <w:r w:rsidR="005C46A8">
        <w:rPr>
          <w:sz w:val="20"/>
        </w:rPr>
        <w:t xml:space="preserve"> </w:t>
      </w:r>
      <w:hyperlink r:id="rId46" w:tooltip="Toute l’actualité Habitat" w:history="1">
        <w:r w:rsidR="009D26DC" w:rsidRPr="008E5BBC">
          <w:rPr>
            <w:rStyle w:val="Lienhypertexte"/>
            <w:color w:val="auto"/>
            <w:sz w:val="20"/>
            <w:u w:val="none"/>
          </w:rPr>
          <w:t>Habitat</w:t>
        </w:r>
      </w:hyperlink>
      <w:r w:rsidR="009D26DC" w:rsidRPr="008E5BBC">
        <w:rPr>
          <w:sz w:val="20"/>
        </w:rPr>
        <w:t>,</w:t>
      </w:r>
      <w:r w:rsidR="005C46A8">
        <w:rPr>
          <w:sz w:val="20"/>
        </w:rPr>
        <w:t xml:space="preserve"> </w:t>
      </w:r>
      <w:r w:rsidR="009D26DC" w:rsidRPr="008E5BBC">
        <w:rPr>
          <w:i/>
          <w:iCs/>
          <w:sz w:val="20"/>
        </w:rPr>
        <w:t>et nous avons, en effet, choisi d’accueillir quelques-uns des 4</w:t>
      </w:r>
      <w:r w:rsidR="005C46A8">
        <w:rPr>
          <w:i/>
          <w:iCs/>
          <w:sz w:val="20"/>
        </w:rPr>
        <w:t> </w:t>
      </w:r>
      <w:r w:rsidR="009D26DC" w:rsidRPr="008E5BBC">
        <w:rPr>
          <w:i/>
          <w:iCs/>
          <w:sz w:val="20"/>
        </w:rPr>
        <w:t>600</w:t>
      </w:r>
      <w:r w:rsidR="005C46A8">
        <w:rPr>
          <w:i/>
          <w:iCs/>
          <w:sz w:val="20"/>
        </w:rPr>
        <w:t xml:space="preserve"> </w:t>
      </w:r>
      <w:r w:rsidR="009D26DC" w:rsidRPr="008E5BBC">
        <w:rPr>
          <w:i/>
          <w:iCs/>
          <w:sz w:val="20"/>
        </w:rPr>
        <w:t>policiers nouvellement affectés dans le département</w:t>
      </w:r>
      <w:r w:rsidR="009D26DC" w:rsidRPr="008E5BBC">
        <w:rPr>
          <w:sz w:val="20"/>
        </w:rPr>
        <w:t>.</w:t>
      </w:r>
      <w:r w:rsidR="005C46A8">
        <w:rPr>
          <w:sz w:val="20"/>
        </w:rPr>
        <w:t xml:space="preserve"> </w:t>
      </w:r>
      <w:r w:rsidR="009D26DC" w:rsidRPr="008E5BBC">
        <w:rPr>
          <w:i/>
          <w:iCs/>
          <w:sz w:val="20"/>
        </w:rPr>
        <w:t>Quant au contingent du préfet, nous lui avons restitué et même au-delà. »</w:t>
      </w:r>
    </w:p>
    <w:p w:rsidR="009D26DC" w:rsidRPr="008E5BBC" w:rsidRDefault="009D26DC" w:rsidP="00EC585C">
      <w:r w:rsidRPr="008E5BBC">
        <w:rPr>
          <w:i/>
          <w:iCs/>
        </w:rPr>
        <w:t>« Si nous avions pu nous</w:t>
      </w:r>
      <w:r w:rsidR="005C46A8">
        <w:rPr>
          <w:i/>
          <w:iCs/>
        </w:rPr>
        <w:t xml:space="preserve"> </w:t>
      </w:r>
      <w:hyperlink r:id="rId47" w:tgtFrame="_blank" w:tooltip="Conjugaison du verbe passer" w:history="1">
        <w:r w:rsidRPr="008E5BBC">
          <w:rPr>
            <w:rStyle w:val="Lienhypertexte"/>
            <w:i/>
            <w:iCs/>
            <w:color w:val="auto"/>
            <w:sz w:val="20"/>
            <w:u w:val="none"/>
          </w:rPr>
          <w:t>passer</w:t>
        </w:r>
      </w:hyperlink>
      <w:r w:rsidR="005C46A8">
        <w:rPr>
          <w:i/>
          <w:iCs/>
        </w:rPr>
        <w:t xml:space="preserve"> </w:t>
      </w:r>
      <w:r w:rsidRPr="008E5BBC">
        <w:rPr>
          <w:i/>
          <w:iCs/>
        </w:rPr>
        <w:t>de la contrainte et de la loi, nous l’aurions fait »</w:t>
      </w:r>
      <w:r w:rsidRPr="008E5BBC">
        <w:t xml:space="preserve">, indiquait la </w:t>
      </w:r>
      <w:r w:rsidR="00A05DB8">
        <w:t>M</w:t>
      </w:r>
      <w:r w:rsidRPr="008E5BBC">
        <w:t>inistre du logement, Emmanuelle Cosse, vendredi 17</w:t>
      </w:r>
      <w:r w:rsidR="005C46A8">
        <w:t xml:space="preserve"> </w:t>
      </w:r>
      <w:r w:rsidRPr="008E5BBC">
        <w:t>juin, en commission spéciale des lois, égrenant les</w:t>
      </w:r>
      <w:r w:rsidR="005C46A8">
        <w:t xml:space="preserve"> </w:t>
      </w:r>
      <w:hyperlink r:id="rId48" w:tooltip="Toute l’actualité villes" w:history="1">
        <w:r w:rsidRPr="008E5BBC">
          <w:rPr>
            <w:rStyle w:val="Lienhypertexte"/>
            <w:color w:val="auto"/>
            <w:sz w:val="20"/>
            <w:u w:val="none"/>
          </w:rPr>
          <w:t>villes</w:t>
        </w:r>
      </w:hyperlink>
      <w:r w:rsidRPr="008E5BBC">
        <w:t>, surtout franciliennes et varoises, qui n’accueillent pas assez de familles prioritaires.</w:t>
      </w:r>
    </w:p>
    <w:p w:rsidR="009D26DC" w:rsidRPr="008E5BBC" w:rsidRDefault="009D26DC" w:rsidP="00EC585C">
      <w:r w:rsidRPr="008E5BBC">
        <w:t>Le débat parlementaire qui commence est l’occasion, pour le Collectif des villes carencées, qui en réunit déjà plus d’une centaine sur les 221 concernées, de</w:t>
      </w:r>
      <w:r w:rsidR="005C46A8">
        <w:t xml:space="preserve"> </w:t>
      </w:r>
      <w:hyperlink r:id="rId49" w:tgtFrame="_blank" w:tooltip="Conjugaison du verbe remettre" w:history="1">
        <w:r w:rsidRPr="008E5BBC">
          <w:rPr>
            <w:rStyle w:val="Lienhypertexte"/>
            <w:color w:val="auto"/>
            <w:sz w:val="20"/>
            <w:u w:val="none"/>
          </w:rPr>
          <w:t>remettre</w:t>
        </w:r>
      </w:hyperlink>
      <w:r w:rsidR="005C46A8">
        <w:t xml:space="preserve"> </w:t>
      </w:r>
      <w:r w:rsidRPr="008E5BBC">
        <w:t>en cause l’article</w:t>
      </w:r>
      <w:r w:rsidR="005C46A8">
        <w:t xml:space="preserve"> </w:t>
      </w:r>
      <w:r w:rsidRPr="008E5BBC">
        <w:t>55 de la loi SRU. C’est une initiative de Michèle Tabarot, maire du</w:t>
      </w:r>
      <w:r w:rsidR="005C46A8">
        <w:t xml:space="preserve"> </w:t>
      </w:r>
      <w:r w:rsidRPr="008E5BBC">
        <w:t>Cannet et députée des Alpes-Maritimes qui, au lendemain des inondations d’octobre</w:t>
      </w:r>
      <w:r w:rsidR="005C46A8">
        <w:t xml:space="preserve"> </w:t>
      </w:r>
      <w:r w:rsidRPr="008E5BBC">
        <w:t xml:space="preserve">2015, en rendait responsable la sururbanisation. Dans un communiqué, </w:t>
      </w:r>
      <w:r w:rsidR="005C46A8">
        <w:t xml:space="preserve">Mme </w:t>
      </w:r>
      <w:r w:rsidRPr="008E5BBC">
        <w:t>Tabarot soutenait que</w:t>
      </w:r>
      <w:r w:rsidR="005C46A8">
        <w:t xml:space="preserve"> </w:t>
      </w:r>
      <w:r w:rsidRPr="008E5BBC">
        <w:rPr>
          <w:i/>
          <w:iCs/>
        </w:rPr>
        <w:t>« l’application stricte de la loi SRU reviendrait à construire</w:t>
      </w:r>
      <w:r w:rsidR="005C46A8">
        <w:rPr>
          <w:i/>
          <w:iCs/>
        </w:rPr>
        <w:t xml:space="preserve"> </w:t>
      </w:r>
      <w:r w:rsidRPr="008E5BBC">
        <w:t>(dans sa ville)</w:t>
      </w:r>
      <w:r w:rsidR="005C46A8">
        <w:t xml:space="preserve"> </w:t>
      </w:r>
      <w:r w:rsidRPr="008E5BBC">
        <w:rPr>
          <w:i/>
          <w:iCs/>
        </w:rPr>
        <w:t>plus de 4</w:t>
      </w:r>
      <w:r w:rsidR="005C46A8">
        <w:rPr>
          <w:i/>
          <w:iCs/>
        </w:rPr>
        <w:t> </w:t>
      </w:r>
      <w:r w:rsidRPr="008E5BBC">
        <w:rPr>
          <w:i/>
          <w:iCs/>
        </w:rPr>
        <w:t>000</w:t>
      </w:r>
      <w:r w:rsidR="005C46A8">
        <w:rPr>
          <w:i/>
          <w:iCs/>
        </w:rPr>
        <w:t xml:space="preserve"> </w:t>
      </w:r>
      <w:r w:rsidRPr="008E5BBC">
        <w:rPr>
          <w:i/>
          <w:iCs/>
        </w:rPr>
        <w:t>logements, ce qui aggraverait le bétonnage et le ruissellement des eaux »</w:t>
      </w:r>
      <w:r w:rsidR="005C46A8">
        <w:rPr>
          <w:i/>
          <w:iCs/>
        </w:rPr>
        <w:t xml:space="preserve"> </w:t>
      </w:r>
      <w:r w:rsidRPr="008E5BBC">
        <w:t>et qu’il fallait</w:t>
      </w:r>
      <w:r w:rsidR="005C46A8">
        <w:t xml:space="preserve"> </w:t>
      </w:r>
      <w:hyperlink r:id="rId50" w:tgtFrame="_blank" w:tooltip="Conjugaison du verbe mettre" w:history="1">
        <w:r w:rsidRPr="008E5BBC">
          <w:rPr>
            <w:rStyle w:val="Lienhypertexte"/>
            <w:color w:val="auto"/>
            <w:sz w:val="20"/>
            <w:u w:val="none"/>
          </w:rPr>
          <w:t>mettre</w:t>
        </w:r>
      </w:hyperlink>
      <w:r w:rsidR="005C46A8">
        <w:t xml:space="preserve"> </w:t>
      </w:r>
      <w:r w:rsidRPr="008E5BBC">
        <w:t>un terme à son</w:t>
      </w:r>
      <w:r w:rsidR="005C46A8">
        <w:t xml:space="preserve"> </w:t>
      </w:r>
      <w:r w:rsidRPr="008E5BBC">
        <w:rPr>
          <w:i/>
          <w:iCs/>
        </w:rPr>
        <w:t>« application uniforme et aveugle ».</w:t>
      </w:r>
      <w:r w:rsidR="005C46A8">
        <w:rPr>
          <w:i/>
          <w:iCs/>
        </w:rPr>
        <w:t xml:space="preserve"> </w:t>
      </w:r>
      <w:r w:rsidRPr="008E5BBC">
        <w:t>En omettant la possibilité de</w:t>
      </w:r>
      <w:r w:rsidR="005C46A8">
        <w:t xml:space="preserve"> </w:t>
      </w:r>
      <w:hyperlink r:id="rId51" w:tgtFrame="_blank" w:tooltip="Conjugaison du verbe transformer" w:history="1">
        <w:r w:rsidRPr="008E5BBC">
          <w:rPr>
            <w:rStyle w:val="Lienhypertexte"/>
            <w:color w:val="auto"/>
            <w:sz w:val="20"/>
            <w:u w:val="none"/>
          </w:rPr>
          <w:t>transformer</w:t>
        </w:r>
      </w:hyperlink>
      <w:r w:rsidR="005C46A8">
        <w:t xml:space="preserve"> </w:t>
      </w:r>
      <w:r w:rsidRPr="008E5BBC">
        <w:t>des immeubles existants en logements sociaux.</w:t>
      </w:r>
    </w:p>
    <w:p w:rsidR="00DF0983" w:rsidRPr="008E5BBC" w:rsidRDefault="00DF0983" w:rsidP="00EC585C"/>
    <w:p w:rsidR="00C879C7" w:rsidRPr="009139D7" w:rsidRDefault="00C879C7" w:rsidP="00EC585C"/>
    <w:p w:rsidR="00C879C7" w:rsidRPr="009139D7" w:rsidRDefault="00C879C7" w:rsidP="00EC585C">
      <w:r w:rsidRPr="009139D7">
        <w:br w:type="page"/>
      </w:r>
    </w:p>
    <w:p w:rsidR="00C879C7" w:rsidRPr="00C879C7" w:rsidRDefault="00C879C7" w:rsidP="00B81DED">
      <w:pPr>
        <w:pStyle w:val="Titre1"/>
        <w:numPr>
          <w:ilvl w:val="0"/>
          <w:numId w:val="0"/>
        </w:numPr>
        <w:rPr>
          <w:u w:val="single"/>
        </w:rPr>
      </w:pPr>
      <w:bookmarkStart w:id="29" w:name="_Toc509327221"/>
      <w:r w:rsidRPr="00C879C7">
        <w:lastRenderedPageBreak/>
        <w:t>Annexe 5 –</w:t>
      </w:r>
      <w:r>
        <w:t xml:space="preserve"> </w:t>
      </w:r>
      <w:r w:rsidRPr="00C879C7">
        <w:t>L’influence des différents contingents de réservations dans les attributions</w:t>
      </w:r>
      <w:bookmarkEnd w:id="29"/>
    </w:p>
    <w:p w:rsidR="00C879C7" w:rsidRPr="00C879C7" w:rsidRDefault="00C879C7" w:rsidP="00EC585C"/>
    <w:p w:rsidR="00C879C7" w:rsidRPr="003709CB" w:rsidRDefault="00C879C7" w:rsidP="00EC585C">
      <w:r w:rsidRPr="003709CB">
        <w:t>La question des attributions impacte également les différents contingents de réservataires (au profit d’Action Logement, des collectivités ou du préfet). Ainsi les préfectures disposent d’un contingent de réservations jusqu’à 30% du total des logements de chaque organisme HLM (25% pour des ménages prioritaires, 5% pour les fonctionnaires), les collectivités locales bénéficient d’un contingent de 20% des logements quand elles octroient aux bailleurs sociaux leur garantie d’emprunt. Pour les organismes collecteurs d’Action Logement, les taux de réservations divergent en fonction de leurs contributions dans le financement d’opérations de construction ou de réhabilitation.</w:t>
      </w:r>
    </w:p>
    <w:p w:rsidR="00C879C7" w:rsidRPr="003709CB" w:rsidRDefault="00C879C7" w:rsidP="00EC585C">
      <w:r w:rsidRPr="003709CB">
        <w:t>Néanmoins, au moment des attributions, les réservataires subissent certaines contraintes. Les réservations d’Action Logement et des collectivités territoriales sont notamment mises à contribution afin de favoriser le logement de ménages prioritaires</w:t>
      </w:r>
      <w:r w:rsidRPr="003709CB">
        <w:rPr>
          <w:vertAlign w:val="superscript"/>
        </w:rPr>
        <w:footnoteReference w:id="55"/>
      </w:r>
      <w:r w:rsidRPr="003709CB">
        <w:t>. En sus de cette contrainte, les réservataires ne sont pas maîtres du choix du ménage qui se verra attribuer un logement, cette décision appartenant aux commissions d’attributions. Dans le cas d’Action Logement, des candidats sont proposés pour les logements disponibles aux commissions d’attributions. Action Logement ne dispose toutefois pas d’une voix délibérative, mais seulement consultative, au sein de celles-ci.</w:t>
      </w:r>
    </w:p>
    <w:p w:rsidR="00C879C7" w:rsidRPr="003709CB" w:rsidRDefault="00C879C7" w:rsidP="00EC585C">
      <w:r w:rsidRPr="003709CB">
        <w:t>Enfin, si le total des logements réservés par le préfet au bénéfice des personnes prioritaires peut théoriquement atteindre 25% du total des logements de chaque organisme, les taux observés dans les faits s’avèrent beaucoup plus bas</w:t>
      </w:r>
      <w:r w:rsidRPr="003709CB">
        <w:rPr>
          <w:vertAlign w:val="superscript"/>
        </w:rPr>
        <w:footnoteReference w:id="56"/>
      </w:r>
      <w:r w:rsidRPr="003709CB">
        <w:t xml:space="preserve">. Les évolutions législatives récentes s’efforcent d’organiser le retour de l’État et du préfet dans les attributions. Afin de privilégier le logement des ménages prioritaires au moyen du contingent préfectoral prévu à cet effet, la loi </w:t>
      </w:r>
      <w:r w:rsidR="0077792D">
        <w:t>« </w:t>
      </w:r>
      <w:r w:rsidRPr="003709CB">
        <w:t>Égalité et Citoyenneté</w:t>
      </w:r>
      <w:r w:rsidR="0077792D">
        <w:t> »</w:t>
      </w:r>
      <w:r w:rsidRPr="003709CB">
        <w:t xml:space="preserve"> a supprimé la possibilité pour le préfet de déléguer aux communes </w:t>
      </w:r>
      <w:r w:rsidR="001E2907">
        <w:t xml:space="preserve">ou aux EPCI </w:t>
      </w:r>
      <w:r w:rsidRPr="003709CB">
        <w:t>le contingent de 30% de logements réservés de l’État.</w:t>
      </w:r>
    </w:p>
    <w:p w:rsidR="004E3B74" w:rsidRDefault="004E3B74" w:rsidP="00EC585C">
      <w:r>
        <w:br w:type="page"/>
      </w:r>
    </w:p>
    <w:p w:rsidR="004E3B74" w:rsidRPr="00C879C7" w:rsidRDefault="004E3B74" w:rsidP="00B731B2">
      <w:pPr>
        <w:pStyle w:val="Titre1"/>
        <w:numPr>
          <w:ilvl w:val="0"/>
          <w:numId w:val="0"/>
        </w:numPr>
        <w:ind w:left="360"/>
        <w:jc w:val="center"/>
        <w:rPr>
          <w:u w:val="single"/>
        </w:rPr>
      </w:pPr>
      <w:bookmarkStart w:id="30" w:name="_Toc509327222"/>
      <w:r w:rsidRPr="00C879C7">
        <w:lastRenderedPageBreak/>
        <w:t xml:space="preserve">Annexe </w:t>
      </w:r>
      <w:r>
        <w:t>6</w:t>
      </w:r>
      <w:r w:rsidRPr="00C879C7">
        <w:t xml:space="preserve"> –</w:t>
      </w:r>
      <w:r>
        <w:t xml:space="preserve"> Loi « Égalité et Citoyenneté » - volet attribution des logements sociaux</w:t>
      </w:r>
      <w:bookmarkEnd w:id="30"/>
    </w:p>
    <w:p w:rsidR="004E3B74" w:rsidRPr="00C879C7" w:rsidRDefault="004E3B74" w:rsidP="00EC585C"/>
    <w:p w:rsidR="00C879C7" w:rsidRDefault="001503A0" w:rsidP="00B81DED">
      <w:pPr>
        <w:pStyle w:val="Paragraphedeliste"/>
        <w:numPr>
          <w:ilvl w:val="0"/>
          <w:numId w:val="21"/>
        </w:numPr>
        <w:ind w:left="426"/>
      </w:pPr>
      <w:r>
        <w:t xml:space="preserve">Généraliser le respect du DALO, ou à défaut des </w:t>
      </w:r>
      <w:r w:rsidR="00A4620A">
        <w:t xml:space="preserve">ménages </w:t>
      </w:r>
      <w:r>
        <w:t>prioritaires, à l’ensemble des partenaires (y compris bailleurs Action Logement et collectivités locales) avec l’obligation de leur attribuer au moins 25% de leurs logements.</w:t>
      </w:r>
    </w:p>
    <w:p w:rsidR="001503A0" w:rsidRDefault="001503A0" w:rsidP="00B81DED">
      <w:pPr>
        <w:pStyle w:val="Paragraphedeliste"/>
        <w:numPr>
          <w:ilvl w:val="0"/>
          <w:numId w:val="21"/>
        </w:numPr>
        <w:ind w:left="426"/>
      </w:pPr>
      <w:r>
        <w:t>Rendre plus transparentes les conditions de sélection des pré-candidats et plus équitables les décisions d’attribution. À ce titre, la mobilité géographique liée à l’emploi fait partie des critères. La préférence communale ne peut constituer un motif exclusif de non-attribution.</w:t>
      </w:r>
    </w:p>
    <w:p w:rsidR="001503A0" w:rsidRDefault="001503A0" w:rsidP="00B81DED">
      <w:pPr>
        <w:pStyle w:val="Paragraphedeliste"/>
        <w:numPr>
          <w:ilvl w:val="0"/>
          <w:numId w:val="21"/>
        </w:numPr>
        <w:ind w:left="426"/>
      </w:pPr>
      <w:r>
        <w:t>Imposer 25% des attributions hors QPV au premier quartile des demandeurs et à des ménages rel</w:t>
      </w:r>
      <w:r w:rsidR="00A4620A">
        <w:t>og</w:t>
      </w:r>
      <w:r>
        <w:t>és dans le cadre du renouvellement urbain.</w:t>
      </w:r>
    </w:p>
    <w:p w:rsidR="001503A0" w:rsidRDefault="001503A0" w:rsidP="00B81DED">
      <w:pPr>
        <w:pStyle w:val="Paragraphedeliste"/>
        <w:numPr>
          <w:ilvl w:val="0"/>
          <w:numId w:val="21"/>
        </w:numPr>
        <w:ind w:left="426"/>
      </w:pPr>
      <w:r>
        <w:t>Imposer un pourcentage des attributions en QPV aux demandeurs des trois autres quartiles, pourcentage défini par les documents cadres sur les orientations</w:t>
      </w:r>
      <w:r w:rsidR="001A6685">
        <w:t>. À</w:t>
      </w:r>
      <w:r>
        <w:t xml:space="preserve"> défaut, l’objectif est de 50%.</w:t>
      </w:r>
    </w:p>
    <w:p w:rsidR="001503A0" w:rsidRPr="00B81DED" w:rsidRDefault="001503A0" w:rsidP="00B81DED">
      <w:pPr>
        <w:ind w:left="426"/>
        <w:rPr>
          <w:i/>
        </w:rPr>
      </w:pPr>
      <w:r w:rsidRPr="00B81DED">
        <w:rPr>
          <w:i/>
        </w:rPr>
        <w:t xml:space="preserve">Ces deux dernières mesures s’appliquent aux EPCI tenus de faire </w:t>
      </w:r>
      <w:r w:rsidR="00F34B36" w:rsidRPr="00B81DED">
        <w:rPr>
          <w:i/>
        </w:rPr>
        <w:t>u</w:t>
      </w:r>
      <w:r w:rsidRPr="00B81DED">
        <w:rPr>
          <w:i/>
        </w:rPr>
        <w:t>n PLH et/ou ayant la compétence en matière d’habitat avec au moins un QPV, au territoire de la MGP, et à la métropole de Lyon.</w:t>
      </w:r>
    </w:p>
    <w:p w:rsidR="001503A0" w:rsidRPr="001503A0" w:rsidRDefault="001503A0" w:rsidP="00B81DED">
      <w:pPr>
        <w:pStyle w:val="Paragraphedeliste"/>
        <w:numPr>
          <w:ilvl w:val="0"/>
          <w:numId w:val="21"/>
        </w:numPr>
        <w:ind w:left="426"/>
      </w:pPr>
      <w:r>
        <w:t xml:space="preserve">Création d’une conférence intercommunale du logement qui élabore des orientations (cf. </w:t>
      </w:r>
      <w:r w:rsidRPr="0077792D">
        <w:rPr>
          <w:i/>
        </w:rPr>
        <w:t>supra</w:t>
      </w:r>
      <w:r w:rsidR="001A6685">
        <w:t xml:space="preserve"> pour le champ</w:t>
      </w:r>
      <w:r>
        <w:t>) et sert de support à la politique intercommunale des attributions.</w:t>
      </w:r>
    </w:p>
    <w:p w:rsidR="004E3B74" w:rsidRDefault="004E3B74" w:rsidP="00EC585C"/>
    <w:sectPr w:rsidR="004E3B74" w:rsidSect="00EC585C">
      <w:footerReference w:type="default" r:id="rId52"/>
      <w:pgSz w:w="11906" w:h="16838" w:code="9"/>
      <w:pgMar w:top="1134" w:right="1133"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2CF" w:rsidRDefault="005062CF" w:rsidP="00EC585C">
      <w:r>
        <w:separator/>
      </w:r>
    </w:p>
  </w:endnote>
  <w:endnote w:type="continuationSeparator" w:id="0">
    <w:p w:rsidR="005062CF" w:rsidRDefault="005062CF" w:rsidP="00EC5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8091072"/>
      <w:docPartObj>
        <w:docPartGallery w:val="Page Numbers (Bottom of Page)"/>
        <w:docPartUnique/>
      </w:docPartObj>
    </w:sdtPr>
    <w:sdtContent>
      <w:p w:rsidR="00AB0C92" w:rsidRDefault="00AB0C92" w:rsidP="00B81DED">
        <w:pPr>
          <w:pStyle w:val="Pieddepage"/>
          <w:jc w:val="center"/>
        </w:pPr>
        <w:r>
          <w:fldChar w:fldCharType="begin"/>
        </w:r>
        <w:r>
          <w:instrText>PAGE   \* MERGEFORMAT</w:instrText>
        </w:r>
        <w:r>
          <w:fldChar w:fldCharType="separate"/>
        </w:r>
        <w:r>
          <w:t>2</w:t>
        </w:r>
        <w:r>
          <w:fldChar w:fldCharType="end"/>
        </w:r>
      </w:p>
    </w:sdtContent>
  </w:sdt>
  <w:p w:rsidR="00EA43FD" w:rsidRPr="00AB0C92" w:rsidRDefault="00EA43FD" w:rsidP="00EC585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2CF" w:rsidRDefault="005062CF" w:rsidP="00EC585C">
      <w:r>
        <w:separator/>
      </w:r>
    </w:p>
  </w:footnote>
  <w:footnote w:type="continuationSeparator" w:id="0">
    <w:p w:rsidR="005062CF" w:rsidRDefault="005062CF" w:rsidP="00EC585C">
      <w:r>
        <w:continuationSeparator/>
      </w:r>
    </w:p>
  </w:footnote>
  <w:footnote w:id="1">
    <w:p w:rsidR="00EA43FD" w:rsidRDefault="00EA43FD" w:rsidP="00EC585C">
      <w:pPr>
        <w:pStyle w:val="Notedebasdepage"/>
      </w:pPr>
      <w:r>
        <w:rPr>
          <w:rStyle w:val="Appelnotedebasdep"/>
        </w:rPr>
        <w:footnoteRef/>
      </w:r>
      <w:r>
        <w:t xml:space="preserve"> Article L. 441 du CCH, après modification introduite par la loi « Égalité et citoyenneté » : « </w:t>
      </w:r>
      <w:r w:rsidRPr="00965ED8">
        <w:t>L’attribution des logements sociaux doit favoriser l’égalité des chances des demandeurs et la mixité sociale des villes et des quartiers, en permettant l’accès à l’ensemble des secteurs d’un territoire de toutes les catégories de publics éligibles au parc social et en favorisant l’accès des ménages</w:t>
      </w:r>
      <w:r>
        <w:t>,</w:t>
      </w:r>
      <w:r w:rsidRPr="00965ED8">
        <w:t xml:space="preserve"> dont les revenus sont les plus faibles</w:t>
      </w:r>
      <w:r>
        <w:t>,</w:t>
      </w:r>
      <w:r w:rsidRPr="00965ED8">
        <w:t xml:space="preserve"> aux secteurs situés en dehors des quartiers prioritaires de la politique de la ville</w:t>
      </w:r>
      <w:r>
        <w:t> ».</w:t>
      </w:r>
    </w:p>
  </w:footnote>
  <w:footnote w:id="2">
    <w:p w:rsidR="00EA43FD" w:rsidRDefault="00EA43FD" w:rsidP="00EC585C">
      <w:pPr>
        <w:pStyle w:val="Notedebasdepage"/>
      </w:pPr>
      <w:r>
        <w:rPr>
          <w:rStyle w:val="Appelnotedebasdep"/>
        </w:rPr>
        <w:footnoteRef/>
      </w:r>
      <w:r>
        <w:t xml:space="preserve"> En privilégiant tel groupe, on exclut nécessairement tel autre dès lors que l’offre s’avère restreinte.</w:t>
      </w:r>
    </w:p>
  </w:footnote>
  <w:footnote w:id="3">
    <w:p w:rsidR="00EA43FD" w:rsidRDefault="00EA43FD" w:rsidP="00EC585C">
      <w:pPr>
        <w:pStyle w:val="Notedebasdepage"/>
      </w:pPr>
      <w:r>
        <w:rPr>
          <w:rStyle w:val="Appelnotedebasdep"/>
        </w:rPr>
        <w:footnoteRef/>
      </w:r>
      <w:r>
        <w:t xml:space="preserve"> « Habiter en HLM : quel avantage monétaire et quel impact sur les conditions de logement ? » Par Corentin Trévien, </w:t>
      </w:r>
      <w:r w:rsidRPr="00B34C7B">
        <w:rPr>
          <w:i/>
        </w:rPr>
        <w:t>Économie et statistiques</w:t>
      </w:r>
      <w:r>
        <w:t xml:space="preserve"> N° 471, 2014, pages 33 à 64, INSEE.</w:t>
      </w:r>
    </w:p>
  </w:footnote>
  <w:footnote w:id="4">
    <w:p w:rsidR="00EA43FD" w:rsidRDefault="00EA43FD" w:rsidP="00EC585C">
      <w:pPr>
        <w:pStyle w:val="Notedebasdepage"/>
      </w:pPr>
      <w:r>
        <w:rPr>
          <w:rStyle w:val="Appelnotedebasdep"/>
        </w:rPr>
        <w:footnoteRef/>
      </w:r>
      <w:r>
        <w:t xml:space="preserve"> Michel Ceyrac, Président de la Fédération des ESH, cité dans </w:t>
      </w:r>
      <w:r w:rsidRPr="00B34C7B">
        <w:rPr>
          <w:i/>
        </w:rPr>
        <w:t>L’actualité du droit du logement</w:t>
      </w:r>
      <w:r>
        <w:t>, 4 février 2013. Attribution des logements sociaux : un système injuste et opaque, par Martin Brésis.</w:t>
      </w:r>
    </w:p>
  </w:footnote>
  <w:footnote w:id="5">
    <w:p w:rsidR="00EA43FD" w:rsidRDefault="00EA43FD" w:rsidP="00EC585C">
      <w:pPr>
        <w:pStyle w:val="Notedebasdepage"/>
      </w:pPr>
      <w:r>
        <w:rPr>
          <w:rStyle w:val="Appelnotedebasdep"/>
        </w:rPr>
        <w:footnoteRef/>
      </w:r>
      <w:r>
        <w:t xml:space="preserve"> En particulier, à Rennes Métropole ou à Paris. L’expérience de Rennes a acquis toute sa célébrité avec les déclarations de Sylvia Pinel qui a proposé, le 23 février 2015, que le système national à venir s’inspire de la méthode développée dans la capitale bretonne. Ces caractéristiques sont : centralisation de la demande, système indiqué pour tous les réservataires, cotation de la demande incluant aussi bien les aspects positifs que négatifs (comme le refus d’un logement). À Paris, le système de cotation est entré en application le vendredi 3 octobre 2014 sur la base d’une grille publique de vingt-cinq critères de notation, qui a été généralisée au 1</w:t>
      </w:r>
      <w:r w:rsidRPr="001E2960">
        <w:rPr>
          <w:vertAlign w:val="superscript"/>
        </w:rPr>
        <w:t>er</w:t>
      </w:r>
      <w:r>
        <w:t xml:space="preserve"> trimestre 2015. La municipalité de la capitale souhaite généraliser cette grille progressivement à l’ensemble des réservataires.</w:t>
      </w:r>
    </w:p>
  </w:footnote>
  <w:footnote w:id="6">
    <w:p w:rsidR="00EA43FD" w:rsidRDefault="00EA43FD" w:rsidP="00EC585C">
      <w:pPr>
        <w:pStyle w:val="Notedebasdepage"/>
      </w:pPr>
      <w:r>
        <w:rPr>
          <w:rStyle w:val="Appelnotedebasdep"/>
        </w:rPr>
        <w:footnoteRef/>
      </w:r>
      <w:r>
        <w:t xml:space="preserve"> Le sujet n’est pas que français. Revenus de certains occupants trop importants, absence de contrôles... « Le système d’attribution de logements sociaux de la ville de Berne a failli », rapporte l’agence de presse suisse ATS. Au printemps 2014, « la moitié des logements subventionnés (équivalent d’un logement social en France) étaient occupés par des personnes qui n’auraient pas dû en bénéficier ».</w:t>
      </w:r>
    </w:p>
    <w:p w:rsidR="00EA43FD" w:rsidRDefault="00EA43FD" w:rsidP="00EC585C">
      <w:pPr>
        <w:pStyle w:val="Notedebasdepage"/>
      </w:pPr>
      <w:hyperlink r:id="rId1" w:history="1">
        <w:r w:rsidRPr="00931C67">
          <w:rPr>
            <w:rStyle w:val="Lienhypertexte"/>
          </w:rPr>
          <w:t>http://www.lavieimmo.com/immobilier-international/le-logement-social-dans-la-tourmente-en-suisse-28504.html</w:t>
        </w:r>
      </w:hyperlink>
      <w:r>
        <w:t xml:space="preserve"> </w:t>
      </w:r>
    </w:p>
  </w:footnote>
  <w:footnote w:id="7">
    <w:p w:rsidR="00EA43FD" w:rsidRDefault="00EA43FD" w:rsidP="00EC585C">
      <w:pPr>
        <w:pStyle w:val="Notedebasdepage"/>
      </w:pPr>
      <w:r>
        <w:rPr>
          <w:rStyle w:val="Appelnotedebasdep"/>
        </w:rPr>
        <w:footnoteRef/>
      </w:r>
      <w:r>
        <w:t xml:space="preserve"> Dernier rapport en date : « Rapport sur la situation des finances publiques », 29 juin 2017, Cour des comptes.</w:t>
      </w:r>
    </w:p>
  </w:footnote>
  <w:footnote w:id="8">
    <w:p w:rsidR="00EA43FD" w:rsidRDefault="00EA43FD" w:rsidP="00EC585C">
      <w:pPr>
        <w:pStyle w:val="Notedebasdepage"/>
      </w:pPr>
      <w:r>
        <w:rPr>
          <w:rStyle w:val="Appelnotedebasdep"/>
        </w:rPr>
        <w:footnoteRef/>
      </w:r>
      <w:r>
        <w:t xml:space="preserve"> Beaucoup d’élus, pour lutter contre les ghettos, sont tentés d’exclure certains territoires aux revenus les plus faibles. D’autres, indéniablement, se servent de la même mixité pour légitimer le refus d’accepter certaines catégories de population.</w:t>
      </w:r>
    </w:p>
  </w:footnote>
  <w:footnote w:id="9">
    <w:p w:rsidR="00EA43FD" w:rsidRDefault="00EA43FD" w:rsidP="00EC585C">
      <w:pPr>
        <w:pStyle w:val="Notedebasdepage"/>
      </w:pPr>
      <w:r>
        <w:rPr>
          <w:rStyle w:val="Appelnotedebasdep"/>
        </w:rPr>
        <w:footnoteRef/>
      </w:r>
      <w:r>
        <w:t xml:space="preserve"> Ce point a été levé, en partie, par la loi « Égalité et Citoyenneté », cf. annexe 6.</w:t>
      </w:r>
    </w:p>
  </w:footnote>
  <w:footnote w:id="10">
    <w:p w:rsidR="00EA43FD" w:rsidRDefault="00EA43FD" w:rsidP="00EC585C">
      <w:pPr>
        <w:pStyle w:val="Notedebasdepage"/>
      </w:pPr>
      <w:r>
        <w:rPr>
          <w:rStyle w:val="Appelnotedebasdep"/>
        </w:rPr>
        <w:footnoteRef/>
      </w:r>
      <w:r>
        <w:t xml:space="preserve"> Voir « Mixité sociale et accès au logement : un couple antagoniste ? », Jacques Barou, </w:t>
      </w:r>
      <w:r w:rsidRPr="008C57AF">
        <w:rPr>
          <w:i/>
        </w:rPr>
        <w:t>Recherches et prévision</w:t>
      </w:r>
      <w:r>
        <w:t xml:space="preserve"> N° 94, décembre 2008, pages 49 à 57.</w:t>
      </w:r>
    </w:p>
  </w:footnote>
  <w:footnote w:id="11">
    <w:p w:rsidR="00EA43FD" w:rsidRDefault="00EA43FD" w:rsidP="00EC585C">
      <w:pPr>
        <w:pStyle w:val="Notedebasdepage"/>
      </w:pPr>
      <w:r>
        <w:rPr>
          <w:rStyle w:val="Appelnotedebasdep"/>
        </w:rPr>
        <w:footnoteRef/>
      </w:r>
      <w:r>
        <w:t xml:space="preserve"> Voir, à ce titre, Laurent Ghekière, 2011, « Évolution du sens du logement social à l’épreuve de la crise et du droit commanditaire et de la concurrence », in </w:t>
      </w:r>
      <w:r w:rsidRPr="004E62B5">
        <w:rPr>
          <w:i/>
        </w:rPr>
        <w:t>Loyer, l’Europe, le logement social dans tous ses états</w:t>
      </w:r>
      <w:r>
        <w:t xml:space="preserve">, </w:t>
      </w:r>
      <w:r w:rsidRPr="00A5109E">
        <w:rPr>
          <w:i/>
        </w:rPr>
        <w:t>La</w:t>
      </w:r>
      <w:r>
        <w:t xml:space="preserve"> </w:t>
      </w:r>
      <w:r w:rsidRPr="00A5109E">
        <w:rPr>
          <w:i/>
        </w:rPr>
        <w:t>documentation française</w:t>
      </w:r>
      <w:r>
        <w:t>.</w:t>
      </w:r>
    </w:p>
  </w:footnote>
  <w:footnote w:id="12">
    <w:p w:rsidR="00EA43FD" w:rsidRDefault="00EA43FD" w:rsidP="00EC585C">
      <w:pPr>
        <w:pStyle w:val="Notedebasdepage"/>
      </w:pPr>
      <w:r>
        <w:rPr>
          <w:rStyle w:val="Appelnotedebasdep"/>
        </w:rPr>
        <w:footnoteRef/>
      </w:r>
      <w:r>
        <w:t xml:space="preserve"> Assurément, pour un nombre de logements ou un parc donné, l’équilibre de l’offre et de la demande dépend grandement de l’importance quantitative du public éligible ou, en d’autres termes, du niveau des plafonds de ressources d’éligibilité, qui procèdent eux aussi d’un choix politique délicat entre ciblage très social (plafond bas) et accès au plus grand nombre (soit l’hypothèse de 80% de la population retenue en 1977 lors de la grande réforme du financement HLM et de la création de l’APL).</w:t>
      </w:r>
    </w:p>
  </w:footnote>
  <w:footnote w:id="13">
    <w:p w:rsidR="00EA43FD" w:rsidRDefault="00EA43FD" w:rsidP="00EC585C">
      <w:pPr>
        <w:pStyle w:val="Notedebasdepage"/>
      </w:pPr>
      <w:r>
        <w:rPr>
          <w:rStyle w:val="Appelnotedebasdep"/>
        </w:rPr>
        <w:footnoteRef/>
      </w:r>
      <w:r>
        <w:t xml:space="preserve"> Acteur unique de contrôle et d’évaluation d’Action Logement (ex 1%) et du logement social, l’ANCOLS est issue de la fusion de l’Agence nationale pour la participation des employeurs à l’effort de construction (ANPEEC) et de la Mission interministérielle d’inspection du logement social (MIILOS).</w:t>
      </w:r>
    </w:p>
  </w:footnote>
  <w:footnote w:id="14">
    <w:p w:rsidR="00EA43FD" w:rsidRDefault="00EA43FD" w:rsidP="00EC585C">
      <w:pPr>
        <w:pStyle w:val="Notedebasdepage"/>
      </w:pPr>
      <w:r>
        <w:rPr>
          <w:rStyle w:val="Appelnotedebasdep"/>
        </w:rPr>
        <w:footnoteRef/>
      </w:r>
      <w:r>
        <w:t xml:space="preserve"> Sauf la loterie.</w:t>
      </w:r>
    </w:p>
  </w:footnote>
  <w:footnote w:id="15">
    <w:p w:rsidR="00EA43FD" w:rsidRDefault="00EA43FD" w:rsidP="00EC585C">
      <w:pPr>
        <w:pStyle w:val="Notedebasdepage"/>
      </w:pPr>
      <w:r>
        <w:rPr>
          <w:rStyle w:val="Appelnotedebasdep"/>
        </w:rPr>
        <w:footnoteRef/>
      </w:r>
      <w:r>
        <w:t xml:space="preserve"> « Dans les Hauts-de-Seine, les HLM sont attribués selon une logique « clientéliste » », </w:t>
      </w:r>
      <w:r w:rsidRPr="00BB443C">
        <w:rPr>
          <w:i/>
        </w:rPr>
        <w:t>Le Monde</w:t>
      </w:r>
      <w:r>
        <w:t xml:space="preserve"> du 2 mai 2007.</w:t>
      </w:r>
    </w:p>
  </w:footnote>
  <w:footnote w:id="16">
    <w:p w:rsidR="00EA43FD" w:rsidRDefault="00EA43FD" w:rsidP="00EC585C">
      <w:pPr>
        <w:pStyle w:val="Notedebasdepage"/>
      </w:pPr>
      <w:r>
        <w:rPr>
          <w:rStyle w:val="Appelnotedebasdep"/>
        </w:rPr>
        <w:footnoteRef/>
      </w:r>
      <w:r>
        <w:t xml:space="preserve"> Dans le parc HLM, environ 50% des logements sociaux font l’objet d’une réservation. Voir page suivante pour une présentation plus détaillée.</w:t>
      </w:r>
    </w:p>
  </w:footnote>
  <w:footnote w:id="17">
    <w:p w:rsidR="00EA43FD" w:rsidRDefault="00EA43FD" w:rsidP="00EC585C">
      <w:pPr>
        <w:pStyle w:val="Notedebasdepage"/>
      </w:pPr>
      <w:r>
        <w:rPr>
          <w:rStyle w:val="Appelnotedebasdep"/>
        </w:rPr>
        <w:footnoteRef/>
      </w:r>
      <w:r>
        <w:t xml:space="preserve"> Enquête réalisée en mai 2009 par la CLCV sur le fonctionnement des commissions d’attribution des logements (24 pages).</w:t>
      </w:r>
    </w:p>
  </w:footnote>
  <w:footnote w:id="18">
    <w:p w:rsidR="00EA43FD" w:rsidRDefault="00EA43FD" w:rsidP="00EC585C">
      <w:pPr>
        <w:pStyle w:val="Notedebasdepage"/>
      </w:pPr>
      <w:r>
        <w:rPr>
          <w:rStyle w:val="Appelnotedebasdep"/>
        </w:rPr>
        <w:footnoteRef/>
      </w:r>
      <w:r>
        <w:t xml:space="preserve"> Rapport public de la MIILOS en septembre 2014, 148 pages.</w:t>
      </w:r>
    </w:p>
  </w:footnote>
  <w:footnote w:id="19">
    <w:p w:rsidR="00EA43FD" w:rsidRDefault="00EA43FD" w:rsidP="00EC585C">
      <w:pPr>
        <w:pStyle w:val="Notedebasdepage"/>
      </w:pPr>
      <w:r>
        <w:rPr>
          <w:rStyle w:val="Appelnotedebasdep"/>
        </w:rPr>
        <w:footnoteRef/>
      </w:r>
      <w:r>
        <w:t xml:space="preserve"> Sylvie Tissot, « Le logement social : une discrimination en douce », avril 2006, Revue </w:t>
      </w:r>
      <w:r w:rsidRPr="006C1456">
        <w:rPr>
          <w:i/>
        </w:rPr>
        <w:t>Plein Droit</w:t>
      </w:r>
      <w:r>
        <w:t>.</w:t>
      </w:r>
    </w:p>
  </w:footnote>
  <w:footnote w:id="20">
    <w:p w:rsidR="00EA43FD" w:rsidRDefault="00EA43FD" w:rsidP="00EC585C">
      <w:pPr>
        <w:pStyle w:val="Notedebasdepage"/>
      </w:pPr>
      <w:r>
        <w:rPr>
          <w:rStyle w:val="Appelnotedebasdep"/>
        </w:rPr>
        <w:footnoteRef/>
      </w:r>
      <w:r>
        <w:t xml:space="preserve"> Voir </w:t>
      </w:r>
      <w:hyperlink r:id="rId2" w:history="1">
        <w:r w:rsidRPr="004C2517">
          <w:rPr>
            <w:rStyle w:val="Lienhypertexte"/>
          </w:rPr>
          <w:t>http://www.service-public.fr/</w:t>
        </w:r>
      </w:hyperlink>
      <w:r>
        <w:t xml:space="preserve"> pour plus de détails.</w:t>
      </w:r>
    </w:p>
  </w:footnote>
  <w:footnote w:id="21">
    <w:p w:rsidR="00EA43FD" w:rsidRDefault="00EA43FD" w:rsidP="00EC585C">
      <w:pPr>
        <w:pStyle w:val="Notedebasdepage"/>
      </w:pPr>
      <w:r>
        <w:rPr>
          <w:rStyle w:val="Appelnotedebasdep"/>
        </w:rPr>
        <w:footnoteRef/>
      </w:r>
      <w:r>
        <w:t xml:space="preserve"> Si la demande a été refusée, le demandeur ne peut saisir la commission de médiation.</w:t>
      </w:r>
    </w:p>
  </w:footnote>
  <w:footnote w:id="22">
    <w:p w:rsidR="00EA43FD" w:rsidRDefault="00EA43FD" w:rsidP="00EC585C">
      <w:pPr>
        <w:pStyle w:val="Notedebasdepage"/>
      </w:pPr>
      <w:r>
        <w:rPr>
          <w:rStyle w:val="Appelnotedebasdep"/>
        </w:rPr>
        <w:footnoteRef/>
      </w:r>
      <w:r>
        <w:t xml:space="preserve"> Concertation sur les politiques d’attribution des logements sociaux. État des lieux et éléments de réflexions. Page 16, janvier 2013, Ernst and Young, 63 pages.</w:t>
      </w:r>
    </w:p>
  </w:footnote>
  <w:footnote w:id="23">
    <w:p w:rsidR="00EA43FD" w:rsidRDefault="00EA43FD" w:rsidP="00EC585C">
      <w:pPr>
        <w:pStyle w:val="Notedebasdepage"/>
      </w:pPr>
      <w:r>
        <w:rPr>
          <w:rStyle w:val="Appelnotedebasdep"/>
        </w:rPr>
        <w:footnoteRef/>
      </w:r>
      <w:r>
        <w:t xml:space="preserve"> Article R 441-5.</w:t>
      </w:r>
    </w:p>
  </w:footnote>
  <w:footnote w:id="24">
    <w:p w:rsidR="00EA43FD" w:rsidRDefault="00EA43FD" w:rsidP="00EC585C">
      <w:pPr>
        <w:pStyle w:val="Notedebasdepage"/>
      </w:pPr>
      <w:r>
        <w:rPr>
          <w:rStyle w:val="Appelnotedebasdep"/>
        </w:rPr>
        <w:footnoteRef/>
      </w:r>
      <w:r>
        <w:t xml:space="preserve"> Le plus souvent avec un ordre de priorité, qui peut ne pas être respecté par la Commission d’attribution.</w:t>
      </w:r>
    </w:p>
  </w:footnote>
  <w:footnote w:id="25">
    <w:p w:rsidR="00EA43FD" w:rsidRDefault="00EA43FD" w:rsidP="00EC585C">
      <w:pPr>
        <w:pStyle w:val="Notedebasdepage"/>
      </w:pPr>
      <w:r>
        <w:rPr>
          <w:rStyle w:val="Appelnotedebasdep"/>
        </w:rPr>
        <w:footnoteRef/>
      </w:r>
      <w:r>
        <w:t xml:space="preserve"> </w:t>
      </w:r>
      <w:r w:rsidRPr="00CF5839">
        <w:rPr>
          <w:i/>
        </w:rPr>
        <w:t>AEF</w:t>
      </w:r>
      <w:r>
        <w:t>, « Réforme des attributions de logements sociaux : ce qui change au 1</w:t>
      </w:r>
      <w:r w:rsidRPr="00A7683D">
        <w:rPr>
          <w:vertAlign w:val="superscript"/>
        </w:rPr>
        <w:t>er</w:t>
      </w:r>
      <w:r>
        <w:t xml:space="preserve"> janvier 2016 », par Claire Boulland, 30 décembre 2015.</w:t>
      </w:r>
    </w:p>
  </w:footnote>
  <w:footnote w:id="26">
    <w:p w:rsidR="00EA43FD" w:rsidRDefault="00EA43FD" w:rsidP="00EC585C">
      <w:pPr>
        <w:pStyle w:val="Notedebasdepage"/>
      </w:pPr>
      <w:r>
        <w:rPr>
          <w:rStyle w:val="Appelnotedebasdep"/>
        </w:rPr>
        <w:footnoteRef/>
      </w:r>
      <w:r>
        <w:t xml:space="preserve"> Il reste des progrès à faire notamment en zones denses où la limitation à cinq communes n’a guère de sens.</w:t>
      </w:r>
    </w:p>
  </w:footnote>
  <w:footnote w:id="27">
    <w:p w:rsidR="00EA43FD" w:rsidRDefault="00EA43FD" w:rsidP="00EC585C">
      <w:pPr>
        <w:pStyle w:val="Notedebasdepage"/>
      </w:pPr>
      <w:r>
        <w:rPr>
          <w:rStyle w:val="Appelnotedebasdep"/>
        </w:rPr>
        <w:footnoteRef/>
      </w:r>
      <w:r>
        <w:t xml:space="preserve"> Site du CQFD, anonymisation des demandes de logements sociaux : </w:t>
      </w:r>
      <w:hyperlink r:id="rId3" w:history="1">
        <w:r w:rsidRPr="00E7485A">
          <w:rPr>
            <w:rStyle w:val="Lienhypertexte"/>
          </w:rPr>
          <w:t>http://www.ladynamiquecqfd.org/wordpress/?cat=29</w:t>
        </w:r>
      </w:hyperlink>
    </w:p>
  </w:footnote>
  <w:footnote w:id="28">
    <w:p w:rsidR="00EA43FD" w:rsidRDefault="00EA43FD" w:rsidP="00EC585C">
      <w:pPr>
        <w:pStyle w:val="Notedebasdepage"/>
      </w:pPr>
      <w:r>
        <w:rPr>
          <w:rStyle w:val="Appelnotedebasdep"/>
        </w:rPr>
        <w:footnoteRef/>
      </w:r>
      <w:r>
        <w:t xml:space="preserve"> Qui gère 8 000 logements.</w:t>
      </w:r>
    </w:p>
  </w:footnote>
  <w:footnote w:id="29">
    <w:p w:rsidR="00EA43FD" w:rsidRPr="00FC54DF" w:rsidRDefault="00EA43FD" w:rsidP="00EC585C">
      <w:r w:rsidRPr="004B3F6F">
        <w:rPr>
          <w:rStyle w:val="Appelnotedebasdep"/>
          <w:sz w:val="20"/>
          <w:szCs w:val="20"/>
        </w:rPr>
        <w:footnoteRef/>
      </w:r>
      <w:r w:rsidRPr="004B3F6F">
        <w:t xml:space="preserve"> </w:t>
      </w:r>
      <w:r w:rsidRPr="004B3F6F">
        <w:rPr>
          <w:rStyle w:val="Marquedecommentaire"/>
          <w:sz w:val="20"/>
          <w:szCs w:val="20"/>
        </w:rPr>
        <w:t/>
      </w:r>
      <w:r w:rsidRPr="004B3F6F">
        <w:t xml:space="preserve"> </w:t>
      </w:r>
      <w:r>
        <w:t>L</w:t>
      </w:r>
      <w:r w:rsidRPr="004B3F6F">
        <w:t xml:space="preserve">’anonymisation des demandes et l’enregistrement vidéo sont des </w:t>
      </w:r>
      <w:r>
        <w:t>avancées positives</w:t>
      </w:r>
      <w:r w:rsidRPr="004B3F6F">
        <w:t xml:space="preserve">. </w:t>
      </w:r>
      <w:r>
        <w:t xml:space="preserve">Mais elles doivent être accompagnées d’une </w:t>
      </w:r>
      <w:r w:rsidRPr="004B3F6F">
        <w:t xml:space="preserve">modification des pratiques axées autour de chartes négociées de bonnes pratiques et de la collégialité réelle des commissions d’attribution. </w:t>
      </w:r>
      <w:r w:rsidR="008133A5">
        <w:t>L</w:t>
      </w:r>
      <w:r w:rsidRPr="004B3F6F">
        <w:t>a récurrence du sujet et une production législative plus qu’abondante témoignent d’une double réalité :</w:t>
      </w:r>
      <w:r>
        <w:t xml:space="preserve"> </w:t>
      </w:r>
      <w:r w:rsidRPr="00FC54DF">
        <w:t>l’existence marginale de pratiques discriminatoires </w:t>
      </w:r>
      <w:r>
        <w:t xml:space="preserve">et </w:t>
      </w:r>
      <w:r w:rsidRPr="00FC54DF">
        <w:t>la volonté d’y remédier.</w:t>
      </w:r>
      <w:r w:rsidRPr="004B3F6F">
        <w:rPr>
          <w:rStyle w:val="Marquedecommentaire"/>
          <w:sz w:val="20"/>
          <w:szCs w:val="20"/>
        </w:rPr>
        <w:t/>
      </w:r>
    </w:p>
  </w:footnote>
  <w:footnote w:id="30">
    <w:p w:rsidR="00EA43FD" w:rsidRDefault="00EA43FD" w:rsidP="00EC585C">
      <w:pPr>
        <w:pStyle w:val="Notedebasdepage"/>
      </w:pPr>
      <w:r>
        <w:rPr>
          <w:rStyle w:val="Appelnotedebasdep"/>
        </w:rPr>
        <w:footnoteRef/>
      </w:r>
      <w:r>
        <w:t xml:space="preserve"> Le texte inclut les cas de handicap, de perte d’autonomie et de dépassement de plafond de ressources.</w:t>
      </w:r>
    </w:p>
  </w:footnote>
  <w:footnote w:id="31">
    <w:p w:rsidR="00EA43FD" w:rsidRDefault="00EA43FD" w:rsidP="00EC585C">
      <w:pPr>
        <w:pStyle w:val="Notedebasdepage"/>
      </w:pPr>
      <w:r>
        <w:rPr>
          <w:rStyle w:val="Appelnotedebasdep"/>
        </w:rPr>
        <w:footnoteRef/>
      </w:r>
      <w:r>
        <w:t xml:space="preserve"> Le parfum du scandale ne doit pas cacher les améliorations réelles.</w:t>
      </w:r>
    </w:p>
  </w:footnote>
  <w:footnote w:id="32">
    <w:p w:rsidR="00EA43FD" w:rsidRDefault="00EA43FD" w:rsidP="00EC585C">
      <w:pPr>
        <w:pStyle w:val="Notedebasdepage"/>
      </w:pPr>
      <w:r>
        <w:rPr>
          <w:rStyle w:val="Appelnotedebasdep"/>
        </w:rPr>
        <w:footnoteRef/>
      </w:r>
      <w:r>
        <w:t xml:space="preserve"> La Cour des comptes a observé en Île-de-France que les règles d’attribution sont toujours « appliquées de manière variable ». In rapport « Logement en Île-de-France : donner de la cohérence à l’action publique », 2015.</w:t>
      </w:r>
    </w:p>
  </w:footnote>
  <w:footnote w:id="33">
    <w:p w:rsidR="00EA43FD" w:rsidRDefault="00EA43FD" w:rsidP="00EC585C">
      <w:pPr>
        <w:pStyle w:val="Notedebasdepage"/>
      </w:pPr>
      <w:r>
        <w:rPr>
          <w:rStyle w:val="Appelnotedebasdep"/>
        </w:rPr>
        <w:footnoteRef/>
      </w:r>
      <w:r>
        <w:t xml:space="preserve"> HLM : des dérives de gestion pointées par un rapport. </w:t>
      </w:r>
      <w:r w:rsidRPr="004B3F6F">
        <w:rPr>
          <w:i/>
        </w:rPr>
        <w:t>Les Échos</w:t>
      </w:r>
      <w:r>
        <w:t xml:space="preserve"> du jeudi 2 novembre 2017, par Philippe Bertrand, page 17. L’article indique que le rapport de l’Inspection générale des finances a observé qu’à Laval, cinq logements sociaux ont été attribués à des membres de la commission d’attribution !</w:t>
      </w:r>
    </w:p>
  </w:footnote>
  <w:footnote w:id="34">
    <w:p w:rsidR="00EA43FD" w:rsidRPr="00351F03" w:rsidRDefault="00EA43FD" w:rsidP="00EC585C">
      <w:pPr>
        <w:pStyle w:val="Notedebasdepage"/>
        <w:rPr>
          <w:lang w:val="en-US"/>
        </w:rPr>
      </w:pPr>
      <w:r>
        <w:rPr>
          <w:rStyle w:val="Appelnotedebasdep"/>
        </w:rPr>
        <w:footnoteRef/>
      </w:r>
      <w:r w:rsidRPr="00351F03">
        <w:rPr>
          <w:lang w:val="en-US"/>
        </w:rPr>
        <w:t xml:space="preserve"> Op. cit. Rapport Ernst and Young, page</w:t>
      </w:r>
      <w:r>
        <w:rPr>
          <w:lang w:val="en-US"/>
        </w:rPr>
        <w:t xml:space="preserve"> 45.</w:t>
      </w:r>
    </w:p>
  </w:footnote>
  <w:footnote w:id="35">
    <w:p w:rsidR="00EA43FD" w:rsidRDefault="00EA43FD" w:rsidP="00EC585C">
      <w:pPr>
        <w:pStyle w:val="Notedebasdepage"/>
      </w:pPr>
      <w:r>
        <w:rPr>
          <w:rStyle w:val="Appelnotedebasdep"/>
        </w:rPr>
        <w:footnoteRef/>
      </w:r>
      <w:r>
        <w:t xml:space="preserve"> Claire Boulland, « Attribution des logements sociaux : où en sont les expérimentations de </w:t>
      </w:r>
      <w:r w:rsidRPr="008C57AF">
        <w:rPr>
          <w:i/>
        </w:rPr>
        <w:t>scoring</w:t>
      </w:r>
      <w:r>
        <w:rPr>
          <w:i/>
        </w:rPr>
        <w:t> »</w:t>
      </w:r>
      <w:r>
        <w:t xml:space="preserve">, 4 mai 2015, </w:t>
      </w:r>
      <w:r w:rsidRPr="00E73142">
        <w:rPr>
          <w:i/>
        </w:rPr>
        <w:t>AEF</w:t>
      </w:r>
      <w:r>
        <w:t>.</w:t>
      </w:r>
    </w:p>
    <w:p w:rsidR="00EA43FD" w:rsidRPr="00F51702" w:rsidRDefault="00EA43FD" w:rsidP="00EC585C">
      <w:pPr>
        <w:pStyle w:val="Notedebasdepage"/>
      </w:pPr>
    </w:p>
  </w:footnote>
  <w:footnote w:id="36">
    <w:p w:rsidR="00EA43FD" w:rsidRDefault="00EA43FD" w:rsidP="00EC585C">
      <w:pPr>
        <w:pStyle w:val="Notedebasdepage"/>
      </w:pPr>
      <w:r>
        <w:rPr>
          <w:rStyle w:val="Appelnotedebasdep"/>
        </w:rPr>
        <w:footnoteRef/>
      </w:r>
      <w:r>
        <w:t xml:space="preserve"> Le Droit au logement opposable est ouvert à tous ceux qui n’ont pas reçu de proposition adaptée, suite au dépôt de leur dossier, à condition d’appartenir aux catégories suivantes :</w:t>
      </w:r>
    </w:p>
    <w:p w:rsidR="00EA43FD" w:rsidRDefault="00EA43FD" w:rsidP="00EC585C">
      <w:pPr>
        <w:pStyle w:val="Notedebasdepage"/>
      </w:pPr>
      <w:r>
        <w:t>-</w:t>
      </w:r>
      <w:r>
        <w:tab/>
        <w:t>sans domicile ;</w:t>
      </w:r>
    </w:p>
    <w:p w:rsidR="00EA43FD" w:rsidRDefault="00EA43FD" w:rsidP="00EC585C">
      <w:pPr>
        <w:pStyle w:val="Notedebasdepage"/>
      </w:pPr>
      <w:r>
        <w:t>-</w:t>
      </w:r>
      <w:r>
        <w:tab/>
        <w:t>hébergés ;</w:t>
      </w:r>
    </w:p>
    <w:p w:rsidR="00EA43FD" w:rsidRDefault="00EA43FD" w:rsidP="00EC585C">
      <w:pPr>
        <w:pStyle w:val="Notedebasdepage"/>
      </w:pPr>
      <w:r>
        <w:t>-</w:t>
      </w:r>
      <w:r>
        <w:tab/>
        <w:t>logés dans des locaux insalubres ou dangereux ;</w:t>
      </w:r>
    </w:p>
    <w:p w:rsidR="00EA43FD" w:rsidRDefault="00EA43FD" w:rsidP="00EC585C">
      <w:pPr>
        <w:pStyle w:val="Notedebasdepage"/>
      </w:pPr>
      <w:r>
        <w:t>-</w:t>
      </w:r>
      <w:r>
        <w:tab/>
        <w:t>logés dans un logement inconfortable à condition d’avoir à charge au moins un enfant mineur ou une personne handicapée ;</w:t>
      </w:r>
    </w:p>
    <w:p w:rsidR="00EA43FD" w:rsidRDefault="00EA43FD" w:rsidP="00EC585C">
      <w:pPr>
        <w:pStyle w:val="Notedebasdepage"/>
      </w:pPr>
      <w:r>
        <w:t>-</w:t>
      </w:r>
      <w:r>
        <w:tab/>
        <w:t>demandeurs d’un logement social depuis un délai anormalement long (variable selon les départements) et n’ayant reçu aucune proposition adaptée aux besoins et capacité.</w:t>
      </w:r>
    </w:p>
    <w:p w:rsidR="00EA43FD" w:rsidRDefault="00EA43FD" w:rsidP="00EC585C">
      <w:pPr>
        <w:pStyle w:val="Notedebasdepage"/>
      </w:pPr>
      <w:r>
        <w:t>Les demandeurs peuvent saisir une commission de médiation qui doit rendre son avis dans un délai de trois mois en Province et six mois en Île-de-France. Le Préfet, en cas de décision favorable de la commission, a un délai identique pour faire des propositions adaptées. Passé ce délai, si, dans un répit de temps de quatre mois, le demandeur n’a pas reçu de propositions adaptées, il peut saisir le Tribunal administratif qui dispose de deux mois pour se prononcer (Voir B. COLOOS, « </w:t>
      </w:r>
      <w:r w:rsidRPr="00A5241E">
        <w:t>Habitat et ville – Quinze questions et controverses</w:t>
      </w:r>
      <w:r>
        <w:t> »</w:t>
      </w:r>
      <w:r w:rsidRPr="00A5241E">
        <w:t>,</w:t>
      </w:r>
      <w:r>
        <w:rPr>
          <w:b/>
        </w:rPr>
        <w:t xml:space="preserve"> </w:t>
      </w:r>
      <w:r w:rsidRPr="00130AF7">
        <w:rPr>
          <w:i/>
        </w:rPr>
        <w:t>Éditions de l’Aube – Série Villes et territoires – Collection Sciences Po Urbanisme</w:t>
      </w:r>
      <w:r>
        <w:rPr>
          <w:i/>
        </w:rPr>
        <w:t xml:space="preserve">, </w:t>
      </w:r>
      <w:r w:rsidRPr="00130AF7">
        <w:t>435 pages</w:t>
      </w:r>
      <w:r>
        <w:t xml:space="preserve">, </w:t>
      </w:r>
      <w:r w:rsidRPr="00130AF7">
        <w:t>Mai 2010</w:t>
      </w:r>
      <w:r>
        <w:t>).</w:t>
      </w:r>
    </w:p>
  </w:footnote>
  <w:footnote w:id="37">
    <w:p w:rsidR="00EA43FD" w:rsidRPr="00F40C20" w:rsidRDefault="00EA43FD" w:rsidP="00EC585C">
      <w:pPr>
        <w:pStyle w:val="Notedebasdepage"/>
      </w:pPr>
      <w:r>
        <w:rPr>
          <w:rStyle w:val="Appelnotedebasdep"/>
        </w:rPr>
        <w:footnoteRef/>
      </w:r>
      <w:r>
        <w:t xml:space="preserve"> </w:t>
      </w:r>
      <w:r w:rsidRPr="00BF6021">
        <w:t xml:space="preserve">Comité interministériel pour l’égalité et la citoyenneté du 6 mars 2015. </w:t>
      </w:r>
    </w:p>
  </w:footnote>
  <w:footnote w:id="38">
    <w:p w:rsidR="00EA43FD" w:rsidRDefault="00EA43FD" w:rsidP="00EC585C">
      <w:pPr>
        <w:pStyle w:val="Notedebasdepage"/>
      </w:pPr>
      <w:r>
        <w:rPr>
          <w:rStyle w:val="Appelnotedebasdep"/>
        </w:rPr>
        <w:footnoteRef/>
      </w:r>
      <w:r>
        <w:t xml:space="preserve"> Les Zones de sécurité prioritaires (ZSP) à Paris, par exemple. Cela concerne aussi les quartiers ANRU qui sont inclus dans les QPV.</w:t>
      </w:r>
    </w:p>
  </w:footnote>
  <w:footnote w:id="39">
    <w:p w:rsidR="00EA43FD" w:rsidRDefault="00EA43FD" w:rsidP="00EC585C">
      <w:pPr>
        <w:pStyle w:val="Notedebasdepage"/>
      </w:pPr>
      <w:r>
        <w:rPr>
          <w:rStyle w:val="Appelnotedebasdep"/>
        </w:rPr>
        <w:footnoteRef/>
      </w:r>
      <w:r>
        <w:t xml:space="preserve"> Ce pourcentage s’applique aux réservataires.</w:t>
      </w:r>
    </w:p>
  </w:footnote>
  <w:footnote w:id="40">
    <w:p w:rsidR="00EA43FD" w:rsidRDefault="00EA43FD" w:rsidP="00EC585C">
      <w:pPr>
        <w:pStyle w:val="Notedebasdepage"/>
      </w:pPr>
      <w:r>
        <w:rPr>
          <w:rStyle w:val="Appelnotedebasdep"/>
        </w:rPr>
        <w:footnoteRef/>
      </w:r>
      <w:r>
        <w:t xml:space="preserve"> Page 8, in </w:t>
      </w:r>
      <w:hyperlink r:id="rId4" w:history="1">
        <w:r w:rsidRPr="008133A5">
          <w:rPr>
            <w:rStyle w:val="Lienhypertexte"/>
          </w:rPr>
          <w:t xml:space="preserve">Analyse du volet Logement de la loi </w:t>
        </w:r>
        <w:r w:rsidRPr="008133A5">
          <w:rPr>
            <w:rStyle w:val="Lienhypertexte"/>
            <w:i/>
          </w:rPr>
          <w:t>Egalité</w:t>
        </w:r>
        <w:r w:rsidR="008133A5" w:rsidRPr="008133A5">
          <w:rPr>
            <w:rStyle w:val="Lienhypertexte"/>
            <w:i/>
          </w:rPr>
          <w:t xml:space="preserve"> </w:t>
        </w:r>
        <w:r w:rsidRPr="008133A5">
          <w:rPr>
            <w:rStyle w:val="Lienhypertexte"/>
            <w:i/>
          </w:rPr>
          <w:t>&amp;</w:t>
        </w:r>
        <w:r w:rsidR="008133A5" w:rsidRPr="008133A5">
          <w:rPr>
            <w:rStyle w:val="Lienhypertexte"/>
            <w:i/>
          </w:rPr>
          <w:t xml:space="preserve"> </w:t>
        </w:r>
        <w:r w:rsidRPr="008133A5">
          <w:rPr>
            <w:rStyle w:val="Lienhypertexte"/>
            <w:i/>
          </w:rPr>
          <w:t>Citoyenneté</w:t>
        </w:r>
      </w:hyperlink>
      <w:r w:rsidR="008133A5">
        <w:t>,</w:t>
      </w:r>
      <w:r>
        <w:t xml:space="preserve"> Repères</w:t>
      </w:r>
      <w:r w:rsidR="008133A5">
        <w:t xml:space="preserve"> n°29,</w:t>
      </w:r>
      <w:r>
        <w:t xml:space="preserve"> Droit et fiscalité de l’Union sociale pour l’habitat</w:t>
      </w:r>
      <w:r w:rsidR="008133A5">
        <w:t>,</w:t>
      </w:r>
      <w:r>
        <w:t xml:space="preserve"> Paris</w:t>
      </w:r>
      <w:r w:rsidR="008133A5">
        <w:t>,</w:t>
      </w:r>
      <w:r>
        <w:t xml:space="preserve"> Février 2017.</w:t>
      </w:r>
      <w:r w:rsidR="008133A5">
        <w:t xml:space="preserve"> </w:t>
      </w:r>
    </w:p>
  </w:footnote>
  <w:footnote w:id="41">
    <w:p w:rsidR="00EA43FD" w:rsidRPr="00044853" w:rsidRDefault="00EA43FD" w:rsidP="00EC585C">
      <w:pPr>
        <w:pStyle w:val="Notedebasdepage"/>
      </w:pPr>
      <w:r w:rsidRPr="00044853">
        <w:rPr>
          <w:rStyle w:val="Appelnotedebasdep"/>
        </w:rPr>
        <w:footnoteRef/>
      </w:r>
      <w:r w:rsidRPr="00044853">
        <w:t xml:space="preserve"> 1,3 million en France, dont 400 000 en Île-de-France.</w:t>
      </w:r>
      <w:bookmarkStart w:id="16" w:name="_GoBack"/>
      <w:bookmarkEnd w:id="16"/>
    </w:p>
  </w:footnote>
  <w:footnote w:id="42">
    <w:p w:rsidR="00EA43FD" w:rsidRPr="00044853" w:rsidRDefault="00EA43FD" w:rsidP="00EC585C">
      <w:pPr>
        <w:pStyle w:val="Notedebasdepage"/>
      </w:pPr>
      <w:r w:rsidRPr="00044853">
        <w:rPr>
          <w:rStyle w:val="Appelnotedebasdep"/>
        </w:rPr>
        <w:footnoteRef/>
      </w:r>
      <w:r w:rsidRPr="00044853">
        <w:t xml:space="preserve"> Demande provenant de ménages déjà logés en HLM. Les 2/3 des demandes viennent de l’extérieur.</w:t>
      </w:r>
    </w:p>
  </w:footnote>
  <w:footnote w:id="43">
    <w:p w:rsidR="00EA43FD" w:rsidRPr="00044853" w:rsidRDefault="00EA43FD" w:rsidP="00EC585C">
      <w:pPr>
        <w:pStyle w:val="Notedebasdepage"/>
      </w:pPr>
      <w:r w:rsidRPr="00044853">
        <w:rPr>
          <w:rStyle w:val="Appelnotedebasdep"/>
        </w:rPr>
        <w:footnoteRef/>
      </w:r>
      <w:r w:rsidRPr="00044853">
        <w:t xml:space="preserve"> Des refus de relogement qui étonnent, Le Monde, 12 mai 2006, par Bertrand Bisuel.</w:t>
      </w:r>
    </w:p>
  </w:footnote>
  <w:footnote w:id="44">
    <w:p w:rsidR="00EA43FD" w:rsidRPr="00044853" w:rsidRDefault="00EA43FD" w:rsidP="00EC585C">
      <w:r w:rsidRPr="00044853">
        <w:rPr>
          <w:rStyle w:val="Appelnotedebasdep"/>
          <w:sz w:val="20"/>
          <w:szCs w:val="20"/>
        </w:rPr>
        <w:footnoteRef/>
      </w:r>
      <w:r w:rsidRPr="00044853">
        <w:t xml:space="preserve"> Étude sur les refus d’attribution par les demandeurs de logement social. Rapport final. 2012.</w:t>
      </w:r>
      <w:r>
        <w:t xml:space="preserve"> USH / FORS Recherche sociale (Benjamin Badia, Audrey Carrera, Julien Leplaideur, Didier Vanoni). Crédoc (Léopold Gilles, Sophie Lautie, Christelle Gris).</w:t>
      </w:r>
    </w:p>
  </w:footnote>
  <w:footnote w:id="45">
    <w:p w:rsidR="00EA43FD" w:rsidRPr="00044853" w:rsidRDefault="00EA43FD" w:rsidP="00EC585C">
      <w:pPr>
        <w:pStyle w:val="Notedebasdepage"/>
      </w:pPr>
      <w:r w:rsidRPr="00044853">
        <w:rPr>
          <w:rStyle w:val="Appelnotedebasdep"/>
        </w:rPr>
        <w:footnoteRef/>
      </w:r>
      <w:r w:rsidRPr="00044853">
        <w:t xml:space="preserve"> </w:t>
      </w:r>
      <w:r>
        <w:t>USH/FORs, o</w:t>
      </w:r>
      <w:r w:rsidRPr="00044853">
        <w:t>p. cit. page 7.</w:t>
      </w:r>
    </w:p>
  </w:footnote>
  <w:footnote w:id="46">
    <w:p w:rsidR="00EA43FD" w:rsidRPr="00044853" w:rsidRDefault="00EA43FD" w:rsidP="00EC585C">
      <w:pPr>
        <w:pStyle w:val="Notedebasdepage"/>
      </w:pPr>
      <w:r w:rsidRPr="00044853">
        <w:rPr>
          <w:rStyle w:val="Appelnotedebasdep"/>
        </w:rPr>
        <w:footnoteRef/>
      </w:r>
      <w:r w:rsidRPr="00044853">
        <w:t xml:space="preserve"> Les autres motifs sont loyers trop élevés (14%), rapprochement du lieu de travail (10%), etc.</w:t>
      </w:r>
    </w:p>
  </w:footnote>
  <w:footnote w:id="47">
    <w:p w:rsidR="00EA43FD" w:rsidRPr="00044853" w:rsidRDefault="00EA43FD" w:rsidP="00EC585C">
      <w:pPr>
        <w:pStyle w:val="Notedebasdepage"/>
      </w:pPr>
      <w:r w:rsidRPr="00044853">
        <w:rPr>
          <w:rStyle w:val="Appelnotedebasdep"/>
        </w:rPr>
        <w:footnoteRef/>
      </w:r>
      <w:r w:rsidRPr="00044853">
        <w:t xml:space="preserve"> </w:t>
      </w:r>
      <w:r>
        <w:t>USH/FORs , o</w:t>
      </w:r>
      <w:r w:rsidRPr="00044853">
        <w:t>p. cit. page 25.</w:t>
      </w:r>
    </w:p>
  </w:footnote>
  <w:footnote w:id="48">
    <w:p w:rsidR="00EA43FD" w:rsidRDefault="00EA43FD" w:rsidP="00EC585C">
      <w:pPr>
        <w:pStyle w:val="Notedebasdepage"/>
      </w:pPr>
      <w:r>
        <w:rPr>
          <w:rStyle w:val="Appelnotedebasdep"/>
        </w:rPr>
        <w:footnoteRef/>
      </w:r>
      <w:r>
        <w:t xml:space="preserve"> Ibid. page 26.</w:t>
      </w:r>
    </w:p>
  </w:footnote>
  <w:footnote w:id="49">
    <w:p w:rsidR="00EA43FD" w:rsidRDefault="00EA43FD" w:rsidP="00EC585C">
      <w:pPr>
        <w:pStyle w:val="Notedebasdepage"/>
      </w:pPr>
      <w:r>
        <w:rPr>
          <w:rStyle w:val="Appelnotedebasdep"/>
        </w:rPr>
        <w:footnoteRef/>
      </w:r>
      <w:r>
        <w:t xml:space="preserve"> Y compris en termes de loyer.</w:t>
      </w:r>
    </w:p>
  </w:footnote>
  <w:footnote w:id="50">
    <w:p w:rsidR="00EA43FD" w:rsidRDefault="00EA43FD" w:rsidP="00EC585C">
      <w:pPr>
        <w:pStyle w:val="Notedebasdepage"/>
      </w:pPr>
      <w:r>
        <w:rPr>
          <w:rStyle w:val="Appelnotedebasdep"/>
        </w:rPr>
        <w:footnoteRef/>
      </w:r>
      <w:r>
        <w:t xml:space="preserve"> USH/FORs, op. cit. page 33.</w:t>
      </w:r>
    </w:p>
  </w:footnote>
  <w:footnote w:id="51">
    <w:p w:rsidR="00EA43FD" w:rsidRPr="00044853" w:rsidRDefault="00EA43FD" w:rsidP="00EC585C">
      <w:r w:rsidRPr="00044853">
        <w:rPr>
          <w:rStyle w:val="Appelnotedebasdep"/>
          <w:sz w:val="20"/>
          <w:szCs w:val="20"/>
        </w:rPr>
        <w:footnoteRef/>
      </w:r>
      <w:r w:rsidRPr="00044853">
        <w:t xml:space="preserve"> Conditions de logement en France, édition 2017 - Insee références page 126 et suivantes.</w:t>
      </w:r>
    </w:p>
  </w:footnote>
  <w:footnote w:id="52">
    <w:p w:rsidR="00EA43FD" w:rsidRDefault="00EA43FD" w:rsidP="00106B17">
      <w:pPr>
        <w:pStyle w:val="Notedebasdepage"/>
      </w:pPr>
      <w:r>
        <w:rPr>
          <w:rStyle w:val="Appelnotedebasdep"/>
        </w:rPr>
        <w:footnoteRef/>
      </w:r>
      <w:r>
        <w:t xml:space="preserve"> </w:t>
      </w:r>
      <w:r w:rsidRPr="007C5088">
        <w:t>Noémie Houar</w:t>
      </w:r>
      <w:r>
        <w:t>d est l’auteur de « </w:t>
      </w:r>
      <w:r w:rsidRPr="007C5088">
        <w:t>Droit au logement et mixité. Les co</w:t>
      </w:r>
      <w:r>
        <w:t>ntradictions du logement social »</w:t>
      </w:r>
      <w:r w:rsidRPr="007C5088">
        <w:t xml:space="preserve"> (</w:t>
      </w:r>
      <w:r w:rsidRPr="007C5088">
        <w:rPr>
          <w:i/>
        </w:rPr>
        <w:t>L’Harmattan</w:t>
      </w:r>
      <w:r>
        <w:t>, 2009) et a coordonné « </w:t>
      </w:r>
      <w:r w:rsidRPr="007C5088">
        <w:t>Loger l’Europe. Le logement</w:t>
      </w:r>
      <w:r>
        <w:t xml:space="preserve"> social dans tous ses États »</w:t>
      </w:r>
      <w:r w:rsidRPr="007C5088">
        <w:t xml:space="preserve"> (</w:t>
      </w:r>
      <w:r w:rsidRPr="007C5088">
        <w:rPr>
          <w:i/>
        </w:rPr>
        <w:t>La Documentation française</w:t>
      </w:r>
      <w:r w:rsidRPr="007C5088">
        <w:t>, 2011). Ses travaux portent principalement sur la politique du logement, la politique de la ville, les discriminations.</w:t>
      </w:r>
    </w:p>
  </w:footnote>
  <w:footnote w:id="53">
    <w:p w:rsidR="00EA43FD" w:rsidRDefault="00EA43FD" w:rsidP="00EC585C">
      <w:pPr>
        <w:pStyle w:val="Notedebasdepage"/>
      </w:pPr>
      <w:r>
        <w:rPr>
          <w:rStyle w:val="Appelnotedebasdep"/>
        </w:rPr>
        <w:footnoteRef/>
      </w:r>
      <w:r>
        <w:t xml:space="preserve"> « Le système de loterie n’est pas du tout inégalitaire » par Francis Bloch, professeur à l’Université Paris 1 Panthéon Sorbonne et affilié à PSE-École Économie de Paris. Dans son étude sur les pratiques d’attribution des logements sociaux à New-York et Chicago, et plus récemment à Londres, il analyse les systèmes de loterie que les villes ont développé. « Même si la loterie peut sembler plus inégalitaire, il s’avère que pas du tout. Ceux qui viennent d’arriver ont la même chance que ceux présents depuis longtemps. » Plus généralement, selon lui, les systèmes de cotation posent le « problème de savoir combien de points accorder à chaque critère. C’est difficile à calculer et ce mécanisme sera source d’inefficacité si le nombre de points évolue trop souvent et ne permet pas de bien distinguer les priorités données sur un territoire ». À noter que le professeur étudie actuellement la taille optimale de la zone géographique à renseigner lors de la demande de logement social.</w:t>
      </w:r>
    </w:p>
  </w:footnote>
  <w:footnote w:id="54">
    <w:p w:rsidR="00EA43FD" w:rsidRDefault="00EA43FD" w:rsidP="00EC585C">
      <w:pPr>
        <w:pStyle w:val="Notedebasdepage"/>
      </w:pPr>
      <w:r>
        <w:rPr>
          <w:rStyle w:val="Appelnotedebasdep"/>
        </w:rPr>
        <w:footnoteRef/>
      </w:r>
      <w:r>
        <w:t xml:space="preserve"> </w:t>
      </w:r>
      <w:r w:rsidRPr="00896591">
        <w:t>Les associations de locataires Losserand – Pauly – Renoir qui représentent 774 logements à Paris 14</w:t>
      </w:r>
      <w:r w:rsidRPr="008C57AF">
        <w:rPr>
          <w:vertAlign w:val="superscript"/>
        </w:rPr>
        <w:t>ème</w:t>
      </w:r>
      <w:r>
        <w:t>.</w:t>
      </w:r>
    </w:p>
  </w:footnote>
  <w:footnote w:id="55">
    <w:p w:rsidR="00EA43FD" w:rsidRPr="00C879C7" w:rsidRDefault="00EA43FD" w:rsidP="00EC585C">
      <w:pPr>
        <w:pStyle w:val="Notedebasdepage"/>
      </w:pPr>
      <w:r w:rsidRPr="00C879C7">
        <w:rPr>
          <w:rStyle w:val="Appelnotedebasdep"/>
        </w:rPr>
        <w:footnoteRef/>
      </w:r>
      <w:r w:rsidRPr="00C879C7">
        <w:t xml:space="preserve"> Action Logement et les collectivités territoriales doivent désormais consacrer 25% de leurs attributions en faveur de ménages reconnus prioritaires au titre du Dalo ou</w:t>
      </w:r>
      <w:r>
        <w:t>,</w:t>
      </w:r>
      <w:r w:rsidRPr="00C879C7">
        <w:t xml:space="preserve"> à défaut, aux personnes reconnues comme prioritaires (au sens de l’article L.441-1 du CCH).</w:t>
      </w:r>
    </w:p>
  </w:footnote>
  <w:footnote w:id="56">
    <w:p w:rsidR="00EA43FD" w:rsidRPr="00C879C7" w:rsidRDefault="00EA43FD" w:rsidP="00EC585C">
      <w:pPr>
        <w:pStyle w:val="Notedebasdepage"/>
      </w:pPr>
      <w:r w:rsidRPr="00C879C7">
        <w:rPr>
          <w:rStyle w:val="Appelnotedebasdep"/>
        </w:rPr>
        <w:footnoteRef/>
      </w:r>
      <w:r w:rsidRPr="00C879C7">
        <w:t xml:space="preserve"> En 2015, 8% des attributions réalisées dans l’année provenaient du contingent préfectoral en faveur de ménages prioritaires (source : Système </w:t>
      </w:r>
      <w:r>
        <w:t>n</w:t>
      </w:r>
      <w:r w:rsidRPr="00C879C7">
        <w:t>ational d’</w:t>
      </w:r>
      <w:r>
        <w:t>e</w:t>
      </w:r>
      <w:r w:rsidRPr="00C879C7">
        <w:t>nregistrement).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1A851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E10DF"/>
    <w:multiLevelType w:val="hybridMultilevel"/>
    <w:tmpl w:val="C9A0AE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ED5B7F"/>
    <w:multiLevelType w:val="hybridMultilevel"/>
    <w:tmpl w:val="AB58DD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C079CD"/>
    <w:multiLevelType w:val="hybridMultilevel"/>
    <w:tmpl w:val="FCFAA398"/>
    <w:lvl w:ilvl="0" w:tplc="39D2BF3C">
      <w:start w:val="1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075C2A"/>
    <w:multiLevelType w:val="hybridMultilevel"/>
    <w:tmpl w:val="93F0E9EC"/>
    <w:lvl w:ilvl="0" w:tplc="E6B8D504">
      <w:start w:val="3"/>
      <w:numFmt w:val="decimal"/>
      <w:lvlText w:val="%1-"/>
      <w:lvlJc w:val="left"/>
      <w:pPr>
        <w:ind w:left="50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15:restartNumberingAfterBreak="0">
    <w:nsid w:val="15CA1AB8"/>
    <w:multiLevelType w:val="hybridMultilevel"/>
    <w:tmpl w:val="B944FB02"/>
    <w:lvl w:ilvl="0" w:tplc="305ED24A">
      <w:start w:val="1"/>
      <w:numFmt w:val="lowerLetter"/>
      <w:lvlText w:val="%1)"/>
      <w:lvlJc w:val="left"/>
      <w:pPr>
        <w:ind w:left="720" w:hanging="360"/>
      </w:pPr>
      <w:rPr>
        <w:rFonts w:ascii="Arial" w:eastAsia="Calibri" w:hAnsi="Arial" w:cs="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FF1B89"/>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394D5B"/>
    <w:multiLevelType w:val="hybridMultilevel"/>
    <w:tmpl w:val="1E50538C"/>
    <w:lvl w:ilvl="0" w:tplc="DAAC91D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767905"/>
    <w:multiLevelType w:val="hybridMultilevel"/>
    <w:tmpl w:val="327C17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872547"/>
    <w:multiLevelType w:val="hybridMultilevel"/>
    <w:tmpl w:val="968C0DF4"/>
    <w:lvl w:ilvl="0" w:tplc="83D4E74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975E04"/>
    <w:multiLevelType w:val="hybridMultilevel"/>
    <w:tmpl w:val="E3A6FD38"/>
    <w:lvl w:ilvl="0" w:tplc="46D4BDDA">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BE399D"/>
    <w:multiLevelType w:val="hybridMultilevel"/>
    <w:tmpl w:val="F5C8815A"/>
    <w:lvl w:ilvl="0" w:tplc="DD70905E">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4B42A76"/>
    <w:multiLevelType w:val="hybridMultilevel"/>
    <w:tmpl w:val="07AEF4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5BC2F89"/>
    <w:multiLevelType w:val="hybridMultilevel"/>
    <w:tmpl w:val="3D0E9E24"/>
    <w:lvl w:ilvl="0" w:tplc="ACFA7EBE">
      <w:start w:val="2"/>
      <w:numFmt w:val="bullet"/>
      <w:lvlText w:val="-"/>
      <w:lvlJc w:val="left"/>
      <w:pPr>
        <w:ind w:left="1080" w:hanging="360"/>
      </w:pPr>
      <w:rPr>
        <w:rFonts w:ascii="Arial,Bold" w:eastAsia="Times New Roman" w:hAnsi="Arial,Bold" w:cs="Arial,Bold" w:hint="default"/>
        <w:b/>
        <w:color w:val="581D7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3C444ADF"/>
    <w:multiLevelType w:val="hybridMultilevel"/>
    <w:tmpl w:val="8A52F9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C571548"/>
    <w:multiLevelType w:val="hybridMultilevel"/>
    <w:tmpl w:val="523402A0"/>
    <w:lvl w:ilvl="0" w:tplc="39D2BF3C">
      <w:start w:val="15"/>
      <w:numFmt w:val="bullet"/>
      <w:lvlText w:val="-"/>
      <w:lvlJc w:val="left"/>
      <w:pPr>
        <w:ind w:left="720" w:hanging="360"/>
      </w:pPr>
      <w:rPr>
        <w:rFonts w:ascii="Arial" w:eastAsia="Calibri"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0942E2C"/>
    <w:multiLevelType w:val="hybridMultilevel"/>
    <w:tmpl w:val="2BC6A844"/>
    <w:lvl w:ilvl="0" w:tplc="CC3C9F06">
      <w:start w:val="4"/>
      <w:numFmt w:val="decimal"/>
      <w:lvlText w:val="%1."/>
      <w:lvlJc w:val="left"/>
      <w:pPr>
        <w:ind w:left="720" w:hanging="360"/>
      </w:pPr>
      <w:rPr>
        <w:rFonts w:cstheme="maj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0AC3DBD"/>
    <w:multiLevelType w:val="hybridMultilevel"/>
    <w:tmpl w:val="B846CE7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40C409A"/>
    <w:multiLevelType w:val="hybridMultilevel"/>
    <w:tmpl w:val="430C6F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9E5F0F"/>
    <w:multiLevelType w:val="multilevel"/>
    <w:tmpl w:val="AA18CFB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A19698E"/>
    <w:multiLevelType w:val="hybridMultilevel"/>
    <w:tmpl w:val="8A52F9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C7C0466"/>
    <w:multiLevelType w:val="hybridMultilevel"/>
    <w:tmpl w:val="8A52F9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D9102F8"/>
    <w:multiLevelType w:val="hybridMultilevel"/>
    <w:tmpl w:val="CCA0BC4C"/>
    <w:lvl w:ilvl="0" w:tplc="ACFA7EBE">
      <w:start w:val="2"/>
      <w:numFmt w:val="bullet"/>
      <w:lvlText w:val="-"/>
      <w:lvlJc w:val="left"/>
      <w:pPr>
        <w:ind w:left="720" w:hanging="360"/>
      </w:pPr>
      <w:rPr>
        <w:rFonts w:ascii="Arial,Bold" w:eastAsia="Times New Roman" w:hAnsi="Arial,Bold" w:cs="Arial,Bold" w:hint="default"/>
        <w:b/>
        <w:color w:val="581D7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49E072F"/>
    <w:multiLevelType w:val="hybridMultilevel"/>
    <w:tmpl w:val="B0C4045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4C55D4A"/>
    <w:multiLevelType w:val="hybridMultilevel"/>
    <w:tmpl w:val="6588B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9A84028"/>
    <w:multiLevelType w:val="hybridMultilevel"/>
    <w:tmpl w:val="69C629EC"/>
    <w:lvl w:ilvl="0" w:tplc="B19AF24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A832487"/>
    <w:multiLevelType w:val="hybridMultilevel"/>
    <w:tmpl w:val="8A52F9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0D06459"/>
    <w:multiLevelType w:val="hybridMultilevel"/>
    <w:tmpl w:val="E682B5C6"/>
    <w:lvl w:ilvl="0" w:tplc="39D2BF3C">
      <w:start w:val="15"/>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6EFF7FD7"/>
    <w:multiLevelType w:val="hybridMultilevel"/>
    <w:tmpl w:val="C2FCCCA4"/>
    <w:lvl w:ilvl="0" w:tplc="040C000B">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9" w15:restartNumberingAfterBreak="0">
    <w:nsid w:val="791E51EA"/>
    <w:multiLevelType w:val="hybridMultilevel"/>
    <w:tmpl w:val="A70AC040"/>
    <w:lvl w:ilvl="0" w:tplc="96BADCAC">
      <w:start w:val="1"/>
      <w:numFmt w:val="bullet"/>
      <w:lvlText w:val="-"/>
      <w:lvlJc w:val="left"/>
      <w:pPr>
        <w:ind w:left="720" w:hanging="360"/>
      </w:pPr>
      <w:rPr>
        <w:rFonts w:ascii="Arial" w:eastAsiaTheme="minorHAnsi" w:hAnsi="Arial" w:hint="default"/>
        <w:b/>
        <w:color w:val="581D7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18"/>
  </w:num>
  <w:num w:numId="4">
    <w:abstractNumId w:val="22"/>
  </w:num>
  <w:num w:numId="5">
    <w:abstractNumId w:val="26"/>
  </w:num>
  <w:num w:numId="6">
    <w:abstractNumId w:val="23"/>
  </w:num>
  <w:num w:numId="7">
    <w:abstractNumId w:val="13"/>
  </w:num>
  <w:num w:numId="8">
    <w:abstractNumId w:val="14"/>
  </w:num>
  <w:num w:numId="9">
    <w:abstractNumId w:val="4"/>
  </w:num>
  <w:num w:numId="10">
    <w:abstractNumId w:val="21"/>
  </w:num>
  <w:num w:numId="11">
    <w:abstractNumId w:val="20"/>
  </w:num>
  <w:num w:numId="12">
    <w:abstractNumId w:val="12"/>
  </w:num>
  <w:num w:numId="13">
    <w:abstractNumId w:val="3"/>
  </w:num>
  <w:num w:numId="14">
    <w:abstractNumId w:val="15"/>
  </w:num>
  <w:num w:numId="15">
    <w:abstractNumId w:val="27"/>
  </w:num>
  <w:num w:numId="16">
    <w:abstractNumId w:val="5"/>
  </w:num>
  <w:num w:numId="17">
    <w:abstractNumId w:val="9"/>
  </w:num>
  <w:num w:numId="18">
    <w:abstractNumId w:val="25"/>
  </w:num>
  <w:num w:numId="19">
    <w:abstractNumId w:val="6"/>
  </w:num>
  <w:num w:numId="20">
    <w:abstractNumId w:val="19"/>
  </w:num>
  <w:num w:numId="21">
    <w:abstractNumId w:val="28"/>
  </w:num>
  <w:num w:numId="22">
    <w:abstractNumId w:val="0"/>
  </w:num>
  <w:num w:numId="23">
    <w:abstractNumId w:val="11"/>
  </w:num>
  <w:num w:numId="24">
    <w:abstractNumId w:val="11"/>
  </w:num>
  <w:num w:numId="25">
    <w:abstractNumId w:val="11"/>
  </w:num>
  <w:num w:numId="26">
    <w:abstractNumId w:val="7"/>
  </w:num>
  <w:num w:numId="27">
    <w:abstractNumId w:val="16"/>
  </w:num>
  <w:num w:numId="28">
    <w:abstractNumId w:val="11"/>
  </w:num>
  <w:num w:numId="29">
    <w:abstractNumId w:val="11"/>
  </w:num>
  <w:num w:numId="30">
    <w:abstractNumId w:val="11"/>
    <w:lvlOverride w:ilvl="0">
      <w:startOverride w:val="3"/>
    </w:lvlOverride>
  </w:num>
  <w:num w:numId="31">
    <w:abstractNumId w:val="11"/>
  </w:num>
  <w:num w:numId="32">
    <w:abstractNumId w:val="11"/>
  </w:num>
  <w:num w:numId="33">
    <w:abstractNumId w:val="11"/>
  </w:num>
  <w:num w:numId="34">
    <w:abstractNumId w:val="11"/>
  </w:num>
  <w:num w:numId="35">
    <w:abstractNumId w:val="29"/>
  </w:num>
  <w:num w:numId="36">
    <w:abstractNumId w:val="17"/>
  </w:num>
  <w:num w:numId="37">
    <w:abstractNumId w:val="11"/>
  </w:num>
  <w:num w:numId="38">
    <w:abstractNumId w:val="11"/>
    <w:lvlOverride w:ilvl="0">
      <w:startOverride w:val="1"/>
    </w:lvlOverride>
  </w:num>
  <w:num w:numId="39">
    <w:abstractNumId w:val="2"/>
  </w:num>
  <w:num w:numId="40">
    <w:abstractNumId w:val="11"/>
  </w:num>
  <w:num w:numId="41">
    <w:abstractNumId w:val="11"/>
  </w:num>
  <w:num w:numId="42">
    <w:abstractNumId w:val="11"/>
  </w:num>
  <w:num w:numId="43">
    <w:abstractNumId w:val="11"/>
  </w:num>
  <w:num w:numId="44">
    <w:abstractNumId w:val="1"/>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A3"/>
    <w:rsid w:val="00010037"/>
    <w:rsid w:val="00015124"/>
    <w:rsid w:val="000159EF"/>
    <w:rsid w:val="00021068"/>
    <w:rsid w:val="00026BD0"/>
    <w:rsid w:val="00030DCA"/>
    <w:rsid w:val="00041087"/>
    <w:rsid w:val="00043BD9"/>
    <w:rsid w:val="0004782B"/>
    <w:rsid w:val="0005362A"/>
    <w:rsid w:val="00067006"/>
    <w:rsid w:val="00067939"/>
    <w:rsid w:val="00086AE9"/>
    <w:rsid w:val="00086C82"/>
    <w:rsid w:val="00087104"/>
    <w:rsid w:val="00090BB7"/>
    <w:rsid w:val="000A51AC"/>
    <w:rsid w:val="000A5CB3"/>
    <w:rsid w:val="000B2A6F"/>
    <w:rsid w:val="000D23BF"/>
    <w:rsid w:val="000D2CCA"/>
    <w:rsid w:val="000E0109"/>
    <w:rsid w:val="0010144C"/>
    <w:rsid w:val="0010436C"/>
    <w:rsid w:val="00106B17"/>
    <w:rsid w:val="00112E27"/>
    <w:rsid w:val="00117314"/>
    <w:rsid w:val="00121AC6"/>
    <w:rsid w:val="0012410F"/>
    <w:rsid w:val="00124E5B"/>
    <w:rsid w:val="00125B41"/>
    <w:rsid w:val="00130AF7"/>
    <w:rsid w:val="00134091"/>
    <w:rsid w:val="00135172"/>
    <w:rsid w:val="00140569"/>
    <w:rsid w:val="00142945"/>
    <w:rsid w:val="00147F51"/>
    <w:rsid w:val="001503A0"/>
    <w:rsid w:val="0016532A"/>
    <w:rsid w:val="0017207E"/>
    <w:rsid w:val="00172357"/>
    <w:rsid w:val="00172950"/>
    <w:rsid w:val="00172D14"/>
    <w:rsid w:val="00175399"/>
    <w:rsid w:val="00180020"/>
    <w:rsid w:val="001804C9"/>
    <w:rsid w:val="001875E8"/>
    <w:rsid w:val="001A2C8C"/>
    <w:rsid w:val="001A56BC"/>
    <w:rsid w:val="001A6685"/>
    <w:rsid w:val="001B0FA9"/>
    <w:rsid w:val="001B7375"/>
    <w:rsid w:val="001C5078"/>
    <w:rsid w:val="001D0207"/>
    <w:rsid w:val="001E18D7"/>
    <w:rsid w:val="001E2907"/>
    <w:rsid w:val="001E2960"/>
    <w:rsid w:val="001E52BD"/>
    <w:rsid w:val="001E68EF"/>
    <w:rsid w:val="001F36A1"/>
    <w:rsid w:val="001F74B0"/>
    <w:rsid w:val="0020235A"/>
    <w:rsid w:val="0020606E"/>
    <w:rsid w:val="00207B37"/>
    <w:rsid w:val="00220646"/>
    <w:rsid w:val="0022195D"/>
    <w:rsid w:val="0022205C"/>
    <w:rsid w:val="0022401F"/>
    <w:rsid w:val="0022572B"/>
    <w:rsid w:val="00231D4C"/>
    <w:rsid w:val="002327F4"/>
    <w:rsid w:val="00241138"/>
    <w:rsid w:val="00246705"/>
    <w:rsid w:val="002616DE"/>
    <w:rsid w:val="0026180C"/>
    <w:rsid w:val="00267D83"/>
    <w:rsid w:val="002772B8"/>
    <w:rsid w:val="00280714"/>
    <w:rsid w:val="00283751"/>
    <w:rsid w:val="002935B0"/>
    <w:rsid w:val="0029386F"/>
    <w:rsid w:val="002A0FD7"/>
    <w:rsid w:val="002A6357"/>
    <w:rsid w:val="002A68EB"/>
    <w:rsid w:val="002B443A"/>
    <w:rsid w:val="002C20E8"/>
    <w:rsid w:val="002C253A"/>
    <w:rsid w:val="002C6670"/>
    <w:rsid w:val="002E17E2"/>
    <w:rsid w:val="002E3164"/>
    <w:rsid w:val="002E5CF2"/>
    <w:rsid w:val="002F03F7"/>
    <w:rsid w:val="002F7ECE"/>
    <w:rsid w:val="003046E6"/>
    <w:rsid w:val="00307A0E"/>
    <w:rsid w:val="0031187B"/>
    <w:rsid w:val="0031678C"/>
    <w:rsid w:val="00324D34"/>
    <w:rsid w:val="00331F8A"/>
    <w:rsid w:val="00342CC1"/>
    <w:rsid w:val="003439B8"/>
    <w:rsid w:val="0035037F"/>
    <w:rsid w:val="00351F03"/>
    <w:rsid w:val="003576C9"/>
    <w:rsid w:val="00363E09"/>
    <w:rsid w:val="0036449D"/>
    <w:rsid w:val="0036452E"/>
    <w:rsid w:val="003709CB"/>
    <w:rsid w:val="00371AA9"/>
    <w:rsid w:val="00373D18"/>
    <w:rsid w:val="00376836"/>
    <w:rsid w:val="0038526F"/>
    <w:rsid w:val="003942C0"/>
    <w:rsid w:val="00395ED9"/>
    <w:rsid w:val="003A1491"/>
    <w:rsid w:val="003A54A5"/>
    <w:rsid w:val="003A54E2"/>
    <w:rsid w:val="003C3418"/>
    <w:rsid w:val="003C457F"/>
    <w:rsid w:val="003C5B34"/>
    <w:rsid w:val="003C75A3"/>
    <w:rsid w:val="003D4237"/>
    <w:rsid w:val="003D4CB3"/>
    <w:rsid w:val="003D7642"/>
    <w:rsid w:val="003E6056"/>
    <w:rsid w:val="003F2B97"/>
    <w:rsid w:val="003F6352"/>
    <w:rsid w:val="003F715E"/>
    <w:rsid w:val="004008F9"/>
    <w:rsid w:val="00401C30"/>
    <w:rsid w:val="00410D33"/>
    <w:rsid w:val="004115C8"/>
    <w:rsid w:val="00416653"/>
    <w:rsid w:val="004208BF"/>
    <w:rsid w:val="00421827"/>
    <w:rsid w:val="00427DCE"/>
    <w:rsid w:val="004312FB"/>
    <w:rsid w:val="004317D6"/>
    <w:rsid w:val="004405AB"/>
    <w:rsid w:val="004515FC"/>
    <w:rsid w:val="00455AED"/>
    <w:rsid w:val="004630F2"/>
    <w:rsid w:val="00476A77"/>
    <w:rsid w:val="00480AD8"/>
    <w:rsid w:val="00482FE3"/>
    <w:rsid w:val="00486760"/>
    <w:rsid w:val="00486C13"/>
    <w:rsid w:val="004A1CDB"/>
    <w:rsid w:val="004A4536"/>
    <w:rsid w:val="004B3F6F"/>
    <w:rsid w:val="004C1E68"/>
    <w:rsid w:val="004D27F1"/>
    <w:rsid w:val="004D325C"/>
    <w:rsid w:val="004D37E9"/>
    <w:rsid w:val="004D7836"/>
    <w:rsid w:val="004E31AE"/>
    <w:rsid w:val="004E3B74"/>
    <w:rsid w:val="004E62B5"/>
    <w:rsid w:val="004E6986"/>
    <w:rsid w:val="004F185C"/>
    <w:rsid w:val="004F514D"/>
    <w:rsid w:val="005037E9"/>
    <w:rsid w:val="0050570C"/>
    <w:rsid w:val="005062CF"/>
    <w:rsid w:val="00514560"/>
    <w:rsid w:val="00523E97"/>
    <w:rsid w:val="00526724"/>
    <w:rsid w:val="00527897"/>
    <w:rsid w:val="00530F58"/>
    <w:rsid w:val="00534645"/>
    <w:rsid w:val="005415D3"/>
    <w:rsid w:val="00562360"/>
    <w:rsid w:val="00562DB6"/>
    <w:rsid w:val="00564B2D"/>
    <w:rsid w:val="00564C3F"/>
    <w:rsid w:val="00567855"/>
    <w:rsid w:val="00572A89"/>
    <w:rsid w:val="00575B17"/>
    <w:rsid w:val="00576CA5"/>
    <w:rsid w:val="00586308"/>
    <w:rsid w:val="00591B8B"/>
    <w:rsid w:val="005B20D2"/>
    <w:rsid w:val="005C03FB"/>
    <w:rsid w:val="005C094C"/>
    <w:rsid w:val="005C46A8"/>
    <w:rsid w:val="005C53BF"/>
    <w:rsid w:val="005C53F6"/>
    <w:rsid w:val="005E086E"/>
    <w:rsid w:val="005E1E49"/>
    <w:rsid w:val="005E5DBC"/>
    <w:rsid w:val="005E61D1"/>
    <w:rsid w:val="005F59D0"/>
    <w:rsid w:val="00600D2D"/>
    <w:rsid w:val="00600E5B"/>
    <w:rsid w:val="00605E62"/>
    <w:rsid w:val="00606C36"/>
    <w:rsid w:val="00606F1D"/>
    <w:rsid w:val="00632CFC"/>
    <w:rsid w:val="006425CD"/>
    <w:rsid w:val="006452F7"/>
    <w:rsid w:val="00646838"/>
    <w:rsid w:val="006468CB"/>
    <w:rsid w:val="00647300"/>
    <w:rsid w:val="00650D3A"/>
    <w:rsid w:val="00651AC5"/>
    <w:rsid w:val="006528AD"/>
    <w:rsid w:val="006546FB"/>
    <w:rsid w:val="00664CE5"/>
    <w:rsid w:val="00680082"/>
    <w:rsid w:val="00685890"/>
    <w:rsid w:val="00685A3E"/>
    <w:rsid w:val="006A18D3"/>
    <w:rsid w:val="006A3D85"/>
    <w:rsid w:val="006A5DD9"/>
    <w:rsid w:val="006B2BA4"/>
    <w:rsid w:val="006C1118"/>
    <w:rsid w:val="006C1456"/>
    <w:rsid w:val="006C222A"/>
    <w:rsid w:val="006C4736"/>
    <w:rsid w:val="006C6230"/>
    <w:rsid w:val="006D0B88"/>
    <w:rsid w:val="006D279F"/>
    <w:rsid w:val="006E0DEB"/>
    <w:rsid w:val="006E384C"/>
    <w:rsid w:val="006E4D3B"/>
    <w:rsid w:val="006F13CF"/>
    <w:rsid w:val="006F2F1E"/>
    <w:rsid w:val="006F33B8"/>
    <w:rsid w:val="006F35B2"/>
    <w:rsid w:val="006F4DBB"/>
    <w:rsid w:val="006F4EE4"/>
    <w:rsid w:val="007010F2"/>
    <w:rsid w:val="00704848"/>
    <w:rsid w:val="007078E5"/>
    <w:rsid w:val="00707C59"/>
    <w:rsid w:val="00713FDD"/>
    <w:rsid w:val="007154F0"/>
    <w:rsid w:val="00716238"/>
    <w:rsid w:val="00717359"/>
    <w:rsid w:val="00717DF9"/>
    <w:rsid w:val="00722BD8"/>
    <w:rsid w:val="00731621"/>
    <w:rsid w:val="007339FA"/>
    <w:rsid w:val="0073465E"/>
    <w:rsid w:val="0073468E"/>
    <w:rsid w:val="0073566C"/>
    <w:rsid w:val="007364D5"/>
    <w:rsid w:val="007370FE"/>
    <w:rsid w:val="007423B5"/>
    <w:rsid w:val="00743423"/>
    <w:rsid w:val="007473E7"/>
    <w:rsid w:val="00750B50"/>
    <w:rsid w:val="00754363"/>
    <w:rsid w:val="00756E34"/>
    <w:rsid w:val="0077495C"/>
    <w:rsid w:val="007749EE"/>
    <w:rsid w:val="00775D58"/>
    <w:rsid w:val="00776A51"/>
    <w:rsid w:val="0077792D"/>
    <w:rsid w:val="00782CCC"/>
    <w:rsid w:val="007B68BB"/>
    <w:rsid w:val="007C4658"/>
    <w:rsid w:val="007C5088"/>
    <w:rsid w:val="007C7285"/>
    <w:rsid w:val="007D26F3"/>
    <w:rsid w:val="007D2C1B"/>
    <w:rsid w:val="007D39B5"/>
    <w:rsid w:val="007D432A"/>
    <w:rsid w:val="007D4BA2"/>
    <w:rsid w:val="007E3C26"/>
    <w:rsid w:val="007E438F"/>
    <w:rsid w:val="007E5237"/>
    <w:rsid w:val="007E5C66"/>
    <w:rsid w:val="007F29D5"/>
    <w:rsid w:val="007F62FA"/>
    <w:rsid w:val="00802406"/>
    <w:rsid w:val="00804A06"/>
    <w:rsid w:val="00805440"/>
    <w:rsid w:val="008054CA"/>
    <w:rsid w:val="008133A5"/>
    <w:rsid w:val="00820924"/>
    <w:rsid w:val="0082732D"/>
    <w:rsid w:val="00830219"/>
    <w:rsid w:val="00832ABE"/>
    <w:rsid w:val="0083533F"/>
    <w:rsid w:val="00840572"/>
    <w:rsid w:val="0084227E"/>
    <w:rsid w:val="00845026"/>
    <w:rsid w:val="00847012"/>
    <w:rsid w:val="008502A8"/>
    <w:rsid w:val="00851440"/>
    <w:rsid w:val="0085226F"/>
    <w:rsid w:val="00862049"/>
    <w:rsid w:val="00870C7B"/>
    <w:rsid w:val="00871518"/>
    <w:rsid w:val="00873961"/>
    <w:rsid w:val="008849F9"/>
    <w:rsid w:val="00887B42"/>
    <w:rsid w:val="00892665"/>
    <w:rsid w:val="00892B82"/>
    <w:rsid w:val="00896591"/>
    <w:rsid w:val="00897ACB"/>
    <w:rsid w:val="00897F1A"/>
    <w:rsid w:val="008B2277"/>
    <w:rsid w:val="008C1445"/>
    <w:rsid w:val="008C57AF"/>
    <w:rsid w:val="008C66D6"/>
    <w:rsid w:val="008C794C"/>
    <w:rsid w:val="008E1335"/>
    <w:rsid w:val="008E5ACB"/>
    <w:rsid w:val="008E5BBC"/>
    <w:rsid w:val="008F1E29"/>
    <w:rsid w:val="00900116"/>
    <w:rsid w:val="009016A4"/>
    <w:rsid w:val="00904B29"/>
    <w:rsid w:val="00906BB3"/>
    <w:rsid w:val="009105E5"/>
    <w:rsid w:val="009139D7"/>
    <w:rsid w:val="00916BA5"/>
    <w:rsid w:val="00917E49"/>
    <w:rsid w:val="00922697"/>
    <w:rsid w:val="00923377"/>
    <w:rsid w:val="0093236E"/>
    <w:rsid w:val="00934115"/>
    <w:rsid w:val="00936212"/>
    <w:rsid w:val="00936F6E"/>
    <w:rsid w:val="0094074A"/>
    <w:rsid w:val="00940819"/>
    <w:rsid w:val="00941924"/>
    <w:rsid w:val="00945EA8"/>
    <w:rsid w:val="00952600"/>
    <w:rsid w:val="0095416E"/>
    <w:rsid w:val="00960913"/>
    <w:rsid w:val="00965ED8"/>
    <w:rsid w:val="00967BDC"/>
    <w:rsid w:val="00980F66"/>
    <w:rsid w:val="00980F9E"/>
    <w:rsid w:val="00981C25"/>
    <w:rsid w:val="009A0E8F"/>
    <w:rsid w:val="009A37D4"/>
    <w:rsid w:val="009A4D04"/>
    <w:rsid w:val="009A54A3"/>
    <w:rsid w:val="009C1C93"/>
    <w:rsid w:val="009D26DC"/>
    <w:rsid w:val="00A02761"/>
    <w:rsid w:val="00A05DB8"/>
    <w:rsid w:val="00A10F1B"/>
    <w:rsid w:val="00A17296"/>
    <w:rsid w:val="00A21C58"/>
    <w:rsid w:val="00A239CD"/>
    <w:rsid w:val="00A332C0"/>
    <w:rsid w:val="00A3698B"/>
    <w:rsid w:val="00A403F0"/>
    <w:rsid w:val="00A42C5A"/>
    <w:rsid w:val="00A4620A"/>
    <w:rsid w:val="00A46E8D"/>
    <w:rsid w:val="00A5013D"/>
    <w:rsid w:val="00A5020A"/>
    <w:rsid w:val="00A50E6A"/>
    <w:rsid w:val="00A5109E"/>
    <w:rsid w:val="00A5181E"/>
    <w:rsid w:val="00A51A5A"/>
    <w:rsid w:val="00A5241E"/>
    <w:rsid w:val="00A54427"/>
    <w:rsid w:val="00A570CD"/>
    <w:rsid w:val="00A7683D"/>
    <w:rsid w:val="00A777D2"/>
    <w:rsid w:val="00A81B43"/>
    <w:rsid w:val="00A853DF"/>
    <w:rsid w:val="00A85404"/>
    <w:rsid w:val="00A874E1"/>
    <w:rsid w:val="00A87B3F"/>
    <w:rsid w:val="00A96208"/>
    <w:rsid w:val="00AA34A7"/>
    <w:rsid w:val="00AA414F"/>
    <w:rsid w:val="00AA4908"/>
    <w:rsid w:val="00AA4F47"/>
    <w:rsid w:val="00AA5E4D"/>
    <w:rsid w:val="00AB022C"/>
    <w:rsid w:val="00AB0C92"/>
    <w:rsid w:val="00AB29AD"/>
    <w:rsid w:val="00AB5257"/>
    <w:rsid w:val="00AB714E"/>
    <w:rsid w:val="00AC467D"/>
    <w:rsid w:val="00AD2064"/>
    <w:rsid w:val="00AD6A49"/>
    <w:rsid w:val="00AE3840"/>
    <w:rsid w:val="00AE438C"/>
    <w:rsid w:val="00AF3C9C"/>
    <w:rsid w:val="00B012BD"/>
    <w:rsid w:val="00B01778"/>
    <w:rsid w:val="00B029A4"/>
    <w:rsid w:val="00B3397C"/>
    <w:rsid w:val="00B34C7B"/>
    <w:rsid w:val="00B358B5"/>
    <w:rsid w:val="00B50205"/>
    <w:rsid w:val="00B5553B"/>
    <w:rsid w:val="00B60A9D"/>
    <w:rsid w:val="00B61292"/>
    <w:rsid w:val="00B61E9B"/>
    <w:rsid w:val="00B6339A"/>
    <w:rsid w:val="00B659EA"/>
    <w:rsid w:val="00B665A9"/>
    <w:rsid w:val="00B66736"/>
    <w:rsid w:val="00B71A3B"/>
    <w:rsid w:val="00B7208F"/>
    <w:rsid w:val="00B72ECA"/>
    <w:rsid w:val="00B731B2"/>
    <w:rsid w:val="00B7538C"/>
    <w:rsid w:val="00B81618"/>
    <w:rsid w:val="00B818B6"/>
    <w:rsid w:val="00B81DED"/>
    <w:rsid w:val="00B828B6"/>
    <w:rsid w:val="00B87B07"/>
    <w:rsid w:val="00B91E7B"/>
    <w:rsid w:val="00B92203"/>
    <w:rsid w:val="00B93F6B"/>
    <w:rsid w:val="00B96E9D"/>
    <w:rsid w:val="00BA0BBE"/>
    <w:rsid w:val="00BA3DE2"/>
    <w:rsid w:val="00BA4C5B"/>
    <w:rsid w:val="00BB2E4D"/>
    <w:rsid w:val="00BB443C"/>
    <w:rsid w:val="00BB7497"/>
    <w:rsid w:val="00BC0BA3"/>
    <w:rsid w:val="00BC1FA4"/>
    <w:rsid w:val="00BC2694"/>
    <w:rsid w:val="00BE6C31"/>
    <w:rsid w:val="00BF094C"/>
    <w:rsid w:val="00BF6021"/>
    <w:rsid w:val="00C0257B"/>
    <w:rsid w:val="00C02FDD"/>
    <w:rsid w:val="00C06107"/>
    <w:rsid w:val="00C076F0"/>
    <w:rsid w:val="00C10C6F"/>
    <w:rsid w:val="00C14E26"/>
    <w:rsid w:val="00C15CC9"/>
    <w:rsid w:val="00C26C40"/>
    <w:rsid w:val="00C32635"/>
    <w:rsid w:val="00C4280D"/>
    <w:rsid w:val="00C61CCC"/>
    <w:rsid w:val="00C667B7"/>
    <w:rsid w:val="00C671D7"/>
    <w:rsid w:val="00C72BFF"/>
    <w:rsid w:val="00C840CD"/>
    <w:rsid w:val="00C87968"/>
    <w:rsid w:val="00C879C7"/>
    <w:rsid w:val="00C9219F"/>
    <w:rsid w:val="00C9734E"/>
    <w:rsid w:val="00CA2933"/>
    <w:rsid w:val="00CA2C7C"/>
    <w:rsid w:val="00CA2F65"/>
    <w:rsid w:val="00CA36DE"/>
    <w:rsid w:val="00CB2A64"/>
    <w:rsid w:val="00CB323D"/>
    <w:rsid w:val="00CB3F18"/>
    <w:rsid w:val="00CB5594"/>
    <w:rsid w:val="00CB5839"/>
    <w:rsid w:val="00CB73EE"/>
    <w:rsid w:val="00CC3C9B"/>
    <w:rsid w:val="00CC5406"/>
    <w:rsid w:val="00CC6EDB"/>
    <w:rsid w:val="00CD4386"/>
    <w:rsid w:val="00CE6E13"/>
    <w:rsid w:val="00CF2ADA"/>
    <w:rsid w:val="00CF5839"/>
    <w:rsid w:val="00D02DC7"/>
    <w:rsid w:val="00D03837"/>
    <w:rsid w:val="00D06FE7"/>
    <w:rsid w:val="00D10199"/>
    <w:rsid w:val="00D119FE"/>
    <w:rsid w:val="00D1253F"/>
    <w:rsid w:val="00D142B1"/>
    <w:rsid w:val="00D15360"/>
    <w:rsid w:val="00D17139"/>
    <w:rsid w:val="00D2386B"/>
    <w:rsid w:val="00D24636"/>
    <w:rsid w:val="00D26EB3"/>
    <w:rsid w:val="00D3054C"/>
    <w:rsid w:val="00D33509"/>
    <w:rsid w:val="00D34191"/>
    <w:rsid w:val="00D44E48"/>
    <w:rsid w:val="00D46D4B"/>
    <w:rsid w:val="00D47AF8"/>
    <w:rsid w:val="00D55CFC"/>
    <w:rsid w:val="00D614DC"/>
    <w:rsid w:val="00D61C5D"/>
    <w:rsid w:val="00D62670"/>
    <w:rsid w:val="00D63D07"/>
    <w:rsid w:val="00D64B18"/>
    <w:rsid w:val="00D668B6"/>
    <w:rsid w:val="00D6786C"/>
    <w:rsid w:val="00D70A63"/>
    <w:rsid w:val="00D731C5"/>
    <w:rsid w:val="00D74A60"/>
    <w:rsid w:val="00D76B03"/>
    <w:rsid w:val="00D76EEA"/>
    <w:rsid w:val="00D850C6"/>
    <w:rsid w:val="00D85D60"/>
    <w:rsid w:val="00DA0BF3"/>
    <w:rsid w:val="00DA5462"/>
    <w:rsid w:val="00DB48A1"/>
    <w:rsid w:val="00DB5AD5"/>
    <w:rsid w:val="00DB61B3"/>
    <w:rsid w:val="00DD13FC"/>
    <w:rsid w:val="00DD25BA"/>
    <w:rsid w:val="00DD3D95"/>
    <w:rsid w:val="00DD66E8"/>
    <w:rsid w:val="00DE1E13"/>
    <w:rsid w:val="00DE2E0F"/>
    <w:rsid w:val="00DE3C55"/>
    <w:rsid w:val="00DE4BEB"/>
    <w:rsid w:val="00DE5E58"/>
    <w:rsid w:val="00DE5FC4"/>
    <w:rsid w:val="00DE7F73"/>
    <w:rsid w:val="00DF0983"/>
    <w:rsid w:val="00DF1BDC"/>
    <w:rsid w:val="00DF35F5"/>
    <w:rsid w:val="00E01CBC"/>
    <w:rsid w:val="00E0336C"/>
    <w:rsid w:val="00E06F7D"/>
    <w:rsid w:val="00E11CB4"/>
    <w:rsid w:val="00E143A5"/>
    <w:rsid w:val="00E16587"/>
    <w:rsid w:val="00E22D97"/>
    <w:rsid w:val="00E33ECF"/>
    <w:rsid w:val="00E34111"/>
    <w:rsid w:val="00E36D2A"/>
    <w:rsid w:val="00E500FE"/>
    <w:rsid w:val="00E50795"/>
    <w:rsid w:val="00E566C9"/>
    <w:rsid w:val="00E56A5E"/>
    <w:rsid w:val="00E6691A"/>
    <w:rsid w:val="00E67673"/>
    <w:rsid w:val="00E73142"/>
    <w:rsid w:val="00E81C5F"/>
    <w:rsid w:val="00E86FF6"/>
    <w:rsid w:val="00E96504"/>
    <w:rsid w:val="00E97051"/>
    <w:rsid w:val="00EA00D4"/>
    <w:rsid w:val="00EA069A"/>
    <w:rsid w:val="00EA43FD"/>
    <w:rsid w:val="00EA7FEE"/>
    <w:rsid w:val="00EB1BBA"/>
    <w:rsid w:val="00EB3F4A"/>
    <w:rsid w:val="00EC3073"/>
    <w:rsid w:val="00EC585C"/>
    <w:rsid w:val="00EC73F1"/>
    <w:rsid w:val="00ED0A3C"/>
    <w:rsid w:val="00ED74D1"/>
    <w:rsid w:val="00EE18FF"/>
    <w:rsid w:val="00EE7A08"/>
    <w:rsid w:val="00EF2A07"/>
    <w:rsid w:val="00F00216"/>
    <w:rsid w:val="00F00D3C"/>
    <w:rsid w:val="00F03FF1"/>
    <w:rsid w:val="00F128EC"/>
    <w:rsid w:val="00F16EE4"/>
    <w:rsid w:val="00F203E5"/>
    <w:rsid w:val="00F21714"/>
    <w:rsid w:val="00F248B6"/>
    <w:rsid w:val="00F33520"/>
    <w:rsid w:val="00F34498"/>
    <w:rsid w:val="00F34B36"/>
    <w:rsid w:val="00F3565F"/>
    <w:rsid w:val="00F40A2A"/>
    <w:rsid w:val="00F40C20"/>
    <w:rsid w:val="00F42E57"/>
    <w:rsid w:val="00F43EC0"/>
    <w:rsid w:val="00F44B21"/>
    <w:rsid w:val="00F46316"/>
    <w:rsid w:val="00F46D62"/>
    <w:rsid w:val="00F51702"/>
    <w:rsid w:val="00F53B0D"/>
    <w:rsid w:val="00F6375F"/>
    <w:rsid w:val="00F63FB5"/>
    <w:rsid w:val="00F72B0F"/>
    <w:rsid w:val="00F83D9A"/>
    <w:rsid w:val="00F91643"/>
    <w:rsid w:val="00F935C4"/>
    <w:rsid w:val="00F976F4"/>
    <w:rsid w:val="00FA06B5"/>
    <w:rsid w:val="00FA093C"/>
    <w:rsid w:val="00FA5FE6"/>
    <w:rsid w:val="00FA68AF"/>
    <w:rsid w:val="00FB03BD"/>
    <w:rsid w:val="00FB0A8D"/>
    <w:rsid w:val="00FB3CFF"/>
    <w:rsid w:val="00FB4A26"/>
    <w:rsid w:val="00FB6ADF"/>
    <w:rsid w:val="00FC1204"/>
    <w:rsid w:val="00FC54DF"/>
    <w:rsid w:val="00FD1074"/>
    <w:rsid w:val="00FD3B55"/>
    <w:rsid w:val="00FD5B02"/>
    <w:rsid w:val="00FE5836"/>
    <w:rsid w:val="00FF5C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F4093"/>
  <w15:docId w15:val="{880B1021-2C91-4659-8FCD-365CFE191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85C"/>
    <w:pPr>
      <w:spacing w:before="60" w:after="0" w:line="264" w:lineRule="auto"/>
      <w:jc w:val="both"/>
    </w:pPr>
    <w:rPr>
      <w:rFonts w:ascii="Calibri" w:eastAsia="Calibri" w:hAnsi="Calibri" w:cs="Arial"/>
      <w:szCs w:val="24"/>
    </w:rPr>
  </w:style>
  <w:style w:type="paragraph" w:styleId="Titre1">
    <w:name w:val="heading 1"/>
    <w:basedOn w:val="Normal"/>
    <w:next w:val="Normal"/>
    <w:link w:val="Titre1Car"/>
    <w:uiPriority w:val="9"/>
    <w:qFormat/>
    <w:rsid w:val="00EC585C"/>
    <w:pPr>
      <w:keepNext/>
      <w:keepLines/>
      <w:numPr>
        <w:numId w:val="23"/>
      </w:numPr>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unhideWhenUsed/>
    <w:qFormat/>
    <w:rsid w:val="00941924"/>
    <w:pPr>
      <w:spacing w:before="100" w:beforeAutospacing="1" w:after="100" w:afterAutospacing="1"/>
      <w:outlineLvl w:val="1"/>
    </w:pPr>
    <w:rPr>
      <w:rFonts w:ascii="Times New Roman" w:eastAsiaTheme="minorHAnsi" w:hAnsi="Times New Roman"/>
      <w:b/>
      <w:bCs/>
      <w:sz w:val="36"/>
      <w:szCs w:val="36"/>
      <w:lang w:eastAsia="fr-FR"/>
    </w:rPr>
  </w:style>
  <w:style w:type="paragraph" w:styleId="Titre3">
    <w:name w:val="heading 3"/>
    <w:basedOn w:val="Normal"/>
    <w:next w:val="Normal"/>
    <w:link w:val="Titre3Car"/>
    <w:uiPriority w:val="9"/>
    <w:unhideWhenUsed/>
    <w:qFormat/>
    <w:rsid w:val="00B81DED"/>
    <w:pPr>
      <w:keepNext/>
      <w:keepLines/>
      <w:spacing w:before="180" w:after="120"/>
      <w:outlineLvl w:val="2"/>
    </w:pPr>
    <w:rPr>
      <w:rFonts w:asciiTheme="majorHAnsi" w:eastAsiaTheme="majorEastAsia" w:hAnsiTheme="majorHAnsi" w:cstheme="majorBidi"/>
      <w:color w:val="243F60" w:themeColor="accent1" w:themeShade="7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CADRE">
    <w:name w:val="ENCADRE"/>
    <w:basedOn w:val="Normal"/>
    <w:link w:val="ENCADRECar"/>
    <w:qFormat/>
    <w:rsid w:val="00CB73EE"/>
    <w:pPr>
      <w:pBdr>
        <w:left w:val="single" w:sz="4" w:space="4" w:color="auto"/>
      </w:pBdr>
      <w:ind w:left="1134"/>
    </w:pPr>
    <w:rPr>
      <w:rFonts w:eastAsia="Times New Roman"/>
      <w:b/>
      <w:i/>
      <w:sz w:val="20"/>
      <w:lang w:eastAsia="fr-FR"/>
    </w:rPr>
  </w:style>
  <w:style w:type="character" w:customStyle="1" w:styleId="ENCADRECar">
    <w:name w:val="ENCADRE Car"/>
    <w:basedOn w:val="Policepardfaut"/>
    <w:link w:val="ENCADRE"/>
    <w:rsid w:val="00CB73EE"/>
    <w:rPr>
      <w:rFonts w:ascii="Arial" w:eastAsia="Times New Roman" w:hAnsi="Arial" w:cs="Times New Roman"/>
      <w:b/>
      <w:i/>
      <w:sz w:val="20"/>
      <w:lang w:eastAsia="fr-FR"/>
    </w:rPr>
  </w:style>
  <w:style w:type="character" w:styleId="Accentuation">
    <w:name w:val="Emphasis"/>
    <w:aliases w:val="Bureau FFB"/>
    <w:uiPriority w:val="20"/>
    <w:qFormat/>
    <w:rsid w:val="00043BD9"/>
    <w:rPr>
      <w:rFonts w:ascii="Arial" w:hAnsi="Arial"/>
      <w:iCs/>
      <w:sz w:val="28"/>
    </w:rPr>
  </w:style>
  <w:style w:type="paragraph" w:styleId="Notedebasdepage">
    <w:name w:val="footnote text"/>
    <w:basedOn w:val="Normal"/>
    <w:link w:val="NotedebasdepageCar"/>
    <w:unhideWhenUsed/>
    <w:rsid w:val="00BC0BA3"/>
    <w:rPr>
      <w:sz w:val="20"/>
      <w:szCs w:val="20"/>
    </w:rPr>
  </w:style>
  <w:style w:type="character" w:customStyle="1" w:styleId="NotedebasdepageCar">
    <w:name w:val="Note de bas de page Car"/>
    <w:basedOn w:val="Policepardfaut"/>
    <w:link w:val="Notedebasdepage"/>
    <w:rsid w:val="00BC0BA3"/>
    <w:rPr>
      <w:rFonts w:ascii="Calibri" w:eastAsia="Calibri" w:hAnsi="Calibri" w:cs="Times New Roman"/>
      <w:sz w:val="20"/>
      <w:szCs w:val="20"/>
    </w:rPr>
  </w:style>
  <w:style w:type="character" w:styleId="Appelnotedebasdep">
    <w:name w:val="footnote reference"/>
    <w:basedOn w:val="Policepardfaut"/>
    <w:uiPriority w:val="99"/>
    <w:unhideWhenUsed/>
    <w:rsid w:val="00BC0BA3"/>
    <w:rPr>
      <w:vertAlign w:val="superscript"/>
    </w:rPr>
  </w:style>
  <w:style w:type="paragraph" w:styleId="NormalWeb">
    <w:name w:val="Normal (Web)"/>
    <w:basedOn w:val="Normal"/>
    <w:uiPriority w:val="99"/>
    <w:unhideWhenUsed/>
    <w:rsid w:val="00BC0BA3"/>
    <w:pPr>
      <w:spacing w:before="100" w:beforeAutospacing="1" w:after="100" w:afterAutospacing="1"/>
    </w:pPr>
    <w:rPr>
      <w:rFonts w:ascii="Times New Roman" w:hAnsi="Times New Roman"/>
      <w:sz w:val="24"/>
      <w:lang w:eastAsia="fr-FR"/>
    </w:rPr>
  </w:style>
  <w:style w:type="paragraph" w:styleId="Textedebulles">
    <w:name w:val="Balloon Text"/>
    <w:basedOn w:val="Normal"/>
    <w:link w:val="TextedebullesCar"/>
    <w:uiPriority w:val="99"/>
    <w:semiHidden/>
    <w:unhideWhenUsed/>
    <w:rsid w:val="00BC0BA3"/>
    <w:rPr>
      <w:rFonts w:ascii="Tahoma" w:hAnsi="Tahoma" w:cs="Tahoma"/>
      <w:sz w:val="16"/>
      <w:szCs w:val="16"/>
    </w:rPr>
  </w:style>
  <w:style w:type="character" w:customStyle="1" w:styleId="TextedebullesCar">
    <w:name w:val="Texte de bulles Car"/>
    <w:basedOn w:val="Policepardfaut"/>
    <w:link w:val="Textedebulles"/>
    <w:uiPriority w:val="99"/>
    <w:semiHidden/>
    <w:rsid w:val="00BC0BA3"/>
    <w:rPr>
      <w:rFonts w:ascii="Tahoma" w:eastAsia="Calibri" w:hAnsi="Tahoma" w:cs="Tahoma"/>
      <w:sz w:val="16"/>
      <w:szCs w:val="16"/>
    </w:rPr>
  </w:style>
  <w:style w:type="paragraph" w:styleId="En-tte">
    <w:name w:val="header"/>
    <w:basedOn w:val="Normal"/>
    <w:link w:val="En-tteCar"/>
    <w:uiPriority w:val="99"/>
    <w:unhideWhenUsed/>
    <w:rsid w:val="0073566C"/>
    <w:pPr>
      <w:tabs>
        <w:tab w:val="center" w:pos="4536"/>
        <w:tab w:val="right" w:pos="9072"/>
      </w:tabs>
    </w:pPr>
  </w:style>
  <w:style w:type="character" w:customStyle="1" w:styleId="En-tteCar">
    <w:name w:val="En-tête Car"/>
    <w:basedOn w:val="Policepardfaut"/>
    <w:link w:val="En-tte"/>
    <w:uiPriority w:val="99"/>
    <w:rsid w:val="0073566C"/>
    <w:rPr>
      <w:rFonts w:ascii="Calibri" w:eastAsia="Calibri" w:hAnsi="Calibri" w:cs="Times New Roman"/>
    </w:rPr>
  </w:style>
  <w:style w:type="paragraph" w:styleId="Pieddepage">
    <w:name w:val="footer"/>
    <w:basedOn w:val="Normal"/>
    <w:link w:val="PieddepageCar"/>
    <w:uiPriority w:val="99"/>
    <w:unhideWhenUsed/>
    <w:rsid w:val="0073566C"/>
    <w:pPr>
      <w:tabs>
        <w:tab w:val="center" w:pos="4536"/>
        <w:tab w:val="right" w:pos="9072"/>
      </w:tabs>
    </w:pPr>
  </w:style>
  <w:style w:type="character" w:customStyle="1" w:styleId="PieddepageCar">
    <w:name w:val="Pied de page Car"/>
    <w:basedOn w:val="Policepardfaut"/>
    <w:link w:val="Pieddepage"/>
    <w:uiPriority w:val="99"/>
    <w:rsid w:val="0073566C"/>
    <w:rPr>
      <w:rFonts w:ascii="Calibri" w:eastAsia="Calibri" w:hAnsi="Calibri" w:cs="Times New Roman"/>
    </w:rPr>
  </w:style>
  <w:style w:type="paragraph" w:styleId="Paragraphedeliste">
    <w:name w:val="List Paragraph"/>
    <w:basedOn w:val="Normal"/>
    <w:uiPriority w:val="34"/>
    <w:qFormat/>
    <w:rsid w:val="00650D3A"/>
    <w:pPr>
      <w:ind w:left="720"/>
      <w:contextualSpacing/>
    </w:pPr>
  </w:style>
  <w:style w:type="character" w:customStyle="1" w:styleId="Titre2Car">
    <w:name w:val="Titre 2 Car"/>
    <w:basedOn w:val="Policepardfaut"/>
    <w:link w:val="Titre2"/>
    <w:uiPriority w:val="9"/>
    <w:rsid w:val="00941924"/>
    <w:rPr>
      <w:rFonts w:ascii="Times New Roman" w:hAnsi="Times New Roman" w:cs="Times New Roman"/>
      <w:b/>
      <w:bCs/>
      <w:sz w:val="36"/>
      <w:szCs w:val="36"/>
      <w:lang w:eastAsia="fr-FR"/>
    </w:rPr>
  </w:style>
  <w:style w:type="character" w:styleId="Lienhypertexte">
    <w:name w:val="Hyperlink"/>
    <w:basedOn w:val="Policepardfaut"/>
    <w:uiPriority w:val="99"/>
    <w:unhideWhenUsed/>
    <w:rsid w:val="00941924"/>
    <w:rPr>
      <w:color w:val="24459E"/>
      <w:u w:val="single"/>
    </w:rPr>
  </w:style>
  <w:style w:type="paragraph" w:customStyle="1" w:styleId="wp-caption-text">
    <w:name w:val="wp-caption-text"/>
    <w:basedOn w:val="Normal"/>
    <w:uiPriority w:val="99"/>
    <w:semiHidden/>
    <w:rsid w:val="00941924"/>
    <w:pPr>
      <w:spacing w:before="100" w:beforeAutospacing="1" w:after="100" w:afterAutospacing="1"/>
    </w:pPr>
    <w:rPr>
      <w:rFonts w:ascii="Times New Roman" w:eastAsiaTheme="minorHAnsi" w:hAnsi="Times New Roman"/>
      <w:sz w:val="24"/>
      <w:lang w:eastAsia="fr-FR"/>
    </w:rPr>
  </w:style>
  <w:style w:type="character" w:customStyle="1" w:styleId="Titre1Car">
    <w:name w:val="Titre 1 Car"/>
    <w:basedOn w:val="Policepardfaut"/>
    <w:link w:val="Titre1"/>
    <w:uiPriority w:val="9"/>
    <w:rsid w:val="00EC585C"/>
    <w:rPr>
      <w:rFonts w:asciiTheme="majorHAnsi" w:eastAsiaTheme="majorEastAsia" w:hAnsiTheme="majorHAnsi" w:cstheme="majorBidi"/>
      <w:b/>
      <w:bCs/>
      <w:color w:val="365F91" w:themeColor="accent1" w:themeShade="BF"/>
      <w:sz w:val="28"/>
      <w:szCs w:val="28"/>
    </w:rPr>
  </w:style>
  <w:style w:type="paragraph" w:customStyle="1" w:styleId="chapo6">
    <w:name w:val="chapo6"/>
    <w:basedOn w:val="Normal"/>
    <w:rsid w:val="0095416E"/>
    <w:pPr>
      <w:spacing w:before="100" w:beforeAutospacing="1" w:after="75" w:line="336" w:lineRule="atLeast"/>
    </w:pPr>
    <w:rPr>
      <w:rFonts w:ascii="Times New Roman" w:eastAsiaTheme="minorHAnsi" w:hAnsi="Times New Roman"/>
      <w:i/>
      <w:iCs/>
      <w:sz w:val="24"/>
      <w:lang w:eastAsia="fr-FR"/>
    </w:rPr>
  </w:style>
  <w:style w:type="character" w:styleId="lev">
    <w:name w:val="Strong"/>
    <w:basedOn w:val="Policepardfaut"/>
    <w:uiPriority w:val="22"/>
    <w:qFormat/>
    <w:rsid w:val="0095416E"/>
    <w:rPr>
      <w:b/>
      <w:bCs/>
    </w:rPr>
  </w:style>
  <w:style w:type="character" w:customStyle="1" w:styleId="author5">
    <w:name w:val="author5"/>
    <w:basedOn w:val="Policepardfaut"/>
    <w:rsid w:val="00FB03BD"/>
    <w:rPr>
      <w:color w:val="A5A666"/>
    </w:rPr>
  </w:style>
  <w:style w:type="table" w:styleId="Grilledutableau">
    <w:name w:val="Table Grid"/>
    <w:basedOn w:val="TableauNormal"/>
    <w:uiPriority w:val="59"/>
    <w:rsid w:val="00E16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C879C7"/>
    <w:pPr>
      <w:spacing w:after="0" w:line="240" w:lineRule="auto"/>
    </w:pPr>
    <w:rPr>
      <w:rFonts w:eastAsia="SimSun"/>
    </w:rPr>
  </w:style>
  <w:style w:type="paragraph" w:styleId="Explorateurdedocuments">
    <w:name w:val="Document Map"/>
    <w:basedOn w:val="Normal"/>
    <w:link w:val="ExplorateurdedocumentsCar"/>
    <w:uiPriority w:val="99"/>
    <w:semiHidden/>
    <w:unhideWhenUsed/>
    <w:rsid w:val="00AA5E4D"/>
    <w:rPr>
      <w:rFonts w:ascii="Times New Roman" w:hAnsi="Times New Roman"/>
      <w:sz w:val="24"/>
    </w:rPr>
  </w:style>
  <w:style w:type="character" w:customStyle="1" w:styleId="ExplorateurdedocumentsCar">
    <w:name w:val="Explorateur de documents Car"/>
    <w:basedOn w:val="Policepardfaut"/>
    <w:link w:val="Explorateurdedocuments"/>
    <w:uiPriority w:val="99"/>
    <w:semiHidden/>
    <w:rsid w:val="00AA5E4D"/>
    <w:rPr>
      <w:rFonts w:ascii="Times New Roman" w:eastAsia="Calibri" w:hAnsi="Times New Roman" w:cs="Times New Roman"/>
      <w:sz w:val="24"/>
      <w:szCs w:val="24"/>
    </w:rPr>
  </w:style>
  <w:style w:type="paragraph" w:styleId="Rvision">
    <w:name w:val="Revision"/>
    <w:hidden/>
    <w:uiPriority w:val="99"/>
    <w:semiHidden/>
    <w:rsid w:val="00AA5E4D"/>
    <w:pPr>
      <w:spacing w:after="0" w:line="240" w:lineRule="auto"/>
    </w:pPr>
    <w:rPr>
      <w:rFonts w:ascii="Arial" w:eastAsia="Calibri" w:hAnsi="Arial" w:cs="Times New Roman"/>
    </w:rPr>
  </w:style>
  <w:style w:type="character" w:styleId="Marquedecommentaire">
    <w:name w:val="annotation reference"/>
    <w:basedOn w:val="Policepardfaut"/>
    <w:uiPriority w:val="99"/>
    <w:semiHidden/>
    <w:unhideWhenUsed/>
    <w:rsid w:val="00AA5E4D"/>
    <w:rPr>
      <w:sz w:val="18"/>
      <w:szCs w:val="18"/>
    </w:rPr>
  </w:style>
  <w:style w:type="paragraph" w:styleId="Commentaire">
    <w:name w:val="annotation text"/>
    <w:basedOn w:val="Normal"/>
    <w:link w:val="CommentaireCar"/>
    <w:uiPriority w:val="99"/>
    <w:semiHidden/>
    <w:unhideWhenUsed/>
    <w:rsid w:val="00AA5E4D"/>
    <w:rPr>
      <w:sz w:val="24"/>
    </w:rPr>
  </w:style>
  <w:style w:type="character" w:customStyle="1" w:styleId="CommentaireCar">
    <w:name w:val="Commentaire Car"/>
    <w:basedOn w:val="Policepardfaut"/>
    <w:link w:val="Commentaire"/>
    <w:uiPriority w:val="99"/>
    <w:semiHidden/>
    <w:rsid w:val="00AA5E4D"/>
    <w:rPr>
      <w:rFonts w:ascii="Arial" w:eastAsia="Calibri" w:hAnsi="Arial" w:cs="Times New Roman"/>
      <w:sz w:val="24"/>
      <w:szCs w:val="24"/>
    </w:rPr>
  </w:style>
  <w:style w:type="paragraph" w:styleId="Objetducommentaire">
    <w:name w:val="annotation subject"/>
    <w:basedOn w:val="Commentaire"/>
    <w:next w:val="Commentaire"/>
    <w:link w:val="ObjetducommentaireCar"/>
    <w:uiPriority w:val="99"/>
    <w:semiHidden/>
    <w:unhideWhenUsed/>
    <w:rsid w:val="00AA5E4D"/>
    <w:rPr>
      <w:b/>
      <w:bCs/>
      <w:sz w:val="20"/>
      <w:szCs w:val="20"/>
    </w:rPr>
  </w:style>
  <w:style w:type="character" w:customStyle="1" w:styleId="ObjetducommentaireCar">
    <w:name w:val="Objet du commentaire Car"/>
    <w:basedOn w:val="CommentaireCar"/>
    <w:link w:val="Objetducommentaire"/>
    <w:uiPriority w:val="99"/>
    <w:semiHidden/>
    <w:rsid w:val="00AA5E4D"/>
    <w:rPr>
      <w:rFonts w:ascii="Arial" w:eastAsia="Calibri" w:hAnsi="Arial" w:cs="Times New Roman"/>
      <w:b/>
      <w:bCs/>
      <w:sz w:val="20"/>
      <w:szCs w:val="20"/>
    </w:rPr>
  </w:style>
  <w:style w:type="character" w:styleId="Lienhypertextesuivivisit">
    <w:name w:val="FollowedHyperlink"/>
    <w:basedOn w:val="Policepardfaut"/>
    <w:uiPriority w:val="99"/>
    <w:semiHidden/>
    <w:unhideWhenUsed/>
    <w:rsid w:val="00D119FE"/>
    <w:rPr>
      <w:color w:val="800080" w:themeColor="followedHyperlink"/>
      <w:u w:val="single"/>
    </w:rPr>
  </w:style>
  <w:style w:type="paragraph" w:styleId="Index1">
    <w:name w:val="index 1"/>
    <w:basedOn w:val="Normal"/>
    <w:next w:val="Normal"/>
    <w:autoRedefine/>
    <w:uiPriority w:val="99"/>
    <w:unhideWhenUsed/>
    <w:rsid w:val="00952600"/>
    <w:pPr>
      <w:ind w:left="220" w:hanging="220"/>
      <w:jc w:val="left"/>
    </w:pPr>
    <w:rPr>
      <w:rFonts w:asciiTheme="minorHAnsi" w:hAnsiTheme="minorHAnsi"/>
      <w:sz w:val="18"/>
      <w:szCs w:val="18"/>
    </w:rPr>
  </w:style>
  <w:style w:type="paragraph" w:styleId="Index2">
    <w:name w:val="index 2"/>
    <w:basedOn w:val="Normal"/>
    <w:next w:val="Normal"/>
    <w:autoRedefine/>
    <w:uiPriority w:val="99"/>
    <w:unhideWhenUsed/>
    <w:rsid w:val="00952600"/>
    <w:pPr>
      <w:ind w:left="440" w:hanging="220"/>
      <w:jc w:val="left"/>
    </w:pPr>
    <w:rPr>
      <w:rFonts w:asciiTheme="minorHAnsi" w:hAnsiTheme="minorHAnsi"/>
      <w:sz w:val="18"/>
      <w:szCs w:val="18"/>
    </w:rPr>
  </w:style>
  <w:style w:type="paragraph" w:styleId="Index3">
    <w:name w:val="index 3"/>
    <w:basedOn w:val="Normal"/>
    <w:next w:val="Normal"/>
    <w:autoRedefine/>
    <w:uiPriority w:val="99"/>
    <w:unhideWhenUsed/>
    <w:rsid w:val="00952600"/>
    <w:pPr>
      <w:ind w:left="660" w:hanging="220"/>
      <w:jc w:val="left"/>
    </w:pPr>
    <w:rPr>
      <w:rFonts w:asciiTheme="minorHAnsi" w:hAnsiTheme="minorHAnsi"/>
      <w:sz w:val="18"/>
      <w:szCs w:val="18"/>
    </w:rPr>
  </w:style>
  <w:style w:type="paragraph" w:styleId="Index4">
    <w:name w:val="index 4"/>
    <w:basedOn w:val="Normal"/>
    <w:next w:val="Normal"/>
    <w:autoRedefine/>
    <w:uiPriority w:val="99"/>
    <w:unhideWhenUsed/>
    <w:rsid w:val="00952600"/>
    <w:pPr>
      <w:ind w:left="880" w:hanging="220"/>
      <w:jc w:val="left"/>
    </w:pPr>
    <w:rPr>
      <w:rFonts w:asciiTheme="minorHAnsi" w:hAnsiTheme="minorHAnsi"/>
      <w:sz w:val="18"/>
      <w:szCs w:val="18"/>
    </w:rPr>
  </w:style>
  <w:style w:type="paragraph" w:styleId="Index5">
    <w:name w:val="index 5"/>
    <w:basedOn w:val="Normal"/>
    <w:next w:val="Normal"/>
    <w:autoRedefine/>
    <w:uiPriority w:val="99"/>
    <w:unhideWhenUsed/>
    <w:rsid w:val="00952600"/>
    <w:pPr>
      <w:ind w:left="1100" w:hanging="220"/>
      <w:jc w:val="left"/>
    </w:pPr>
    <w:rPr>
      <w:rFonts w:asciiTheme="minorHAnsi" w:hAnsiTheme="minorHAnsi"/>
      <w:sz w:val="18"/>
      <w:szCs w:val="18"/>
    </w:rPr>
  </w:style>
  <w:style w:type="paragraph" w:styleId="Index6">
    <w:name w:val="index 6"/>
    <w:basedOn w:val="Normal"/>
    <w:next w:val="Normal"/>
    <w:autoRedefine/>
    <w:uiPriority w:val="99"/>
    <w:unhideWhenUsed/>
    <w:rsid w:val="00952600"/>
    <w:pPr>
      <w:ind w:left="1320" w:hanging="220"/>
      <w:jc w:val="left"/>
    </w:pPr>
    <w:rPr>
      <w:rFonts w:asciiTheme="minorHAnsi" w:hAnsiTheme="minorHAnsi"/>
      <w:sz w:val="18"/>
      <w:szCs w:val="18"/>
    </w:rPr>
  </w:style>
  <w:style w:type="paragraph" w:styleId="Index7">
    <w:name w:val="index 7"/>
    <w:basedOn w:val="Normal"/>
    <w:next w:val="Normal"/>
    <w:autoRedefine/>
    <w:uiPriority w:val="99"/>
    <w:unhideWhenUsed/>
    <w:rsid w:val="00952600"/>
    <w:pPr>
      <w:ind w:left="1540" w:hanging="220"/>
      <w:jc w:val="left"/>
    </w:pPr>
    <w:rPr>
      <w:rFonts w:asciiTheme="minorHAnsi" w:hAnsiTheme="minorHAnsi"/>
      <w:sz w:val="18"/>
      <w:szCs w:val="18"/>
    </w:rPr>
  </w:style>
  <w:style w:type="paragraph" w:styleId="Index8">
    <w:name w:val="index 8"/>
    <w:basedOn w:val="Normal"/>
    <w:next w:val="Normal"/>
    <w:autoRedefine/>
    <w:uiPriority w:val="99"/>
    <w:unhideWhenUsed/>
    <w:rsid w:val="00952600"/>
    <w:pPr>
      <w:ind w:left="1760" w:hanging="220"/>
      <w:jc w:val="left"/>
    </w:pPr>
    <w:rPr>
      <w:rFonts w:asciiTheme="minorHAnsi" w:hAnsiTheme="minorHAnsi"/>
      <w:sz w:val="18"/>
      <w:szCs w:val="18"/>
    </w:rPr>
  </w:style>
  <w:style w:type="paragraph" w:styleId="Index9">
    <w:name w:val="index 9"/>
    <w:basedOn w:val="Normal"/>
    <w:next w:val="Normal"/>
    <w:autoRedefine/>
    <w:uiPriority w:val="99"/>
    <w:unhideWhenUsed/>
    <w:rsid w:val="00952600"/>
    <w:pPr>
      <w:ind w:left="1980" w:hanging="220"/>
      <w:jc w:val="left"/>
    </w:pPr>
    <w:rPr>
      <w:rFonts w:asciiTheme="minorHAnsi" w:hAnsiTheme="minorHAnsi"/>
      <w:sz w:val="18"/>
      <w:szCs w:val="18"/>
    </w:rPr>
  </w:style>
  <w:style w:type="paragraph" w:styleId="Titreindex">
    <w:name w:val="index heading"/>
    <w:basedOn w:val="Normal"/>
    <w:next w:val="Index1"/>
    <w:uiPriority w:val="99"/>
    <w:unhideWhenUsed/>
    <w:rsid w:val="00952600"/>
    <w:pPr>
      <w:spacing w:before="240" w:after="120"/>
      <w:jc w:val="center"/>
    </w:pPr>
    <w:rPr>
      <w:rFonts w:asciiTheme="minorHAnsi" w:hAnsiTheme="minorHAnsi"/>
      <w:b/>
      <w:bCs/>
      <w:sz w:val="26"/>
      <w:szCs w:val="26"/>
    </w:rPr>
  </w:style>
  <w:style w:type="paragraph" w:styleId="TM1">
    <w:name w:val="toc 1"/>
    <w:basedOn w:val="Normal"/>
    <w:next w:val="Normal"/>
    <w:autoRedefine/>
    <w:uiPriority w:val="39"/>
    <w:unhideWhenUsed/>
    <w:rsid w:val="00952600"/>
  </w:style>
  <w:style w:type="paragraph" w:styleId="TM2">
    <w:name w:val="toc 2"/>
    <w:basedOn w:val="Normal"/>
    <w:next w:val="Normal"/>
    <w:autoRedefine/>
    <w:uiPriority w:val="39"/>
    <w:unhideWhenUsed/>
    <w:rsid w:val="00952600"/>
    <w:pPr>
      <w:ind w:left="220"/>
    </w:pPr>
  </w:style>
  <w:style w:type="paragraph" w:styleId="TM3">
    <w:name w:val="toc 3"/>
    <w:basedOn w:val="Normal"/>
    <w:next w:val="Normal"/>
    <w:autoRedefine/>
    <w:uiPriority w:val="39"/>
    <w:unhideWhenUsed/>
    <w:rsid w:val="00952600"/>
    <w:pPr>
      <w:ind w:left="440"/>
    </w:pPr>
  </w:style>
  <w:style w:type="paragraph" w:styleId="TM4">
    <w:name w:val="toc 4"/>
    <w:basedOn w:val="Normal"/>
    <w:next w:val="Normal"/>
    <w:autoRedefine/>
    <w:uiPriority w:val="39"/>
    <w:unhideWhenUsed/>
    <w:rsid w:val="00952600"/>
    <w:pPr>
      <w:ind w:left="660"/>
    </w:pPr>
  </w:style>
  <w:style w:type="paragraph" w:styleId="TM5">
    <w:name w:val="toc 5"/>
    <w:basedOn w:val="Normal"/>
    <w:next w:val="Normal"/>
    <w:autoRedefine/>
    <w:uiPriority w:val="39"/>
    <w:unhideWhenUsed/>
    <w:rsid w:val="00952600"/>
    <w:pPr>
      <w:ind w:left="880"/>
    </w:pPr>
  </w:style>
  <w:style w:type="paragraph" w:styleId="TM6">
    <w:name w:val="toc 6"/>
    <w:basedOn w:val="Normal"/>
    <w:next w:val="Normal"/>
    <w:autoRedefine/>
    <w:uiPriority w:val="39"/>
    <w:unhideWhenUsed/>
    <w:rsid w:val="00952600"/>
    <w:pPr>
      <w:ind w:left="1100"/>
    </w:pPr>
  </w:style>
  <w:style w:type="paragraph" w:styleId="TM7">
    <w:name w:val="toc 7"/>
    <w:basedOn w:val="Normal"/>
    <w:next w:val="Normal"/>
    <w:autoRedefine/>
    <w:uiPriority w:val="39"/>
    <w:unhideWhenUsed/>
    <w:rsid w:val="00952600"/>
    <w:pPr>
      <w:ind w:left="1320"/>
    </w:pPr>
  </w:style>
  <w:style w:type="paragraph" w:styleId="TM8">
    <w:name w:val="toc 8"/>
    <w:basedOn w:val="Normal"/>
    <w:next w:val="Normal"/>
    <w:autoRedefine/>
    <w:uiPriority w:val="39"/>
    <w:unhideWhenUsed/>
    <w:rsid w:val="00952600"/>
    <w:pPr>
      <w:ind w:left="1540"/>
    </w:pPr>
  </w:style>
  <w:style w:type="paragraph" w:styleId="TM9">
    <w:name w:val="toc 9"/>
    <w:basedOn w:val="Normal"/>
    <w:next w:val="Normal"/>
    <w:autoRedefine/>
    <w:uiPriority w:val="39"/>
    <w:unhideWhenUsed/>
    <w:rsid w:val="00952600"/>
    <w:pPr>
      <w:ind w:left="1760"/>
    </w:pPr>
  </w:style>
  <w:style w:type="character" w:styleId="Mentionnonrsolue">
    <w:name w:val="Unresolved Mention"/>
    <w:basedOn w:val="Policepardfaut"/>
    <w:uiPriority w:val="99"/>
    <w:semiHidden/>
    <w:unhideWhenUsed/>
    <w:rsid w:val="00EA43FD"/>
    <w:rPr>
      <w:color w:val="808080"/>
      <w:shd w:val="clear" w:color="auto" w:fill="E6E6E6"/>
    </w:rPr>
  </w:style>
  <w:style w:type="character" w:customStyle="1" w:styleId="Titre3Car">
    <w:name w:val="Titre 3 Car"/>
    <w:basedOn w:val="Policepardfaut"/>
    <w:link w:val="Titre3"/>
    <w:uiPriority w:val="9"/>
    <w:rsid w:val="00B81DE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582880">
      <w:bodyDiv w:val="1"/>
      <w:marLeft w:val="0"/>
      <w:marRight w:val="0"/>
      <w:marTop w:val="0"/>
      <w:marBottom w:val="0"/>
      <w:divBdr>
        <w:top w:val="none" w:sz="0" w:space="0" w:color="auto"/>
        <w:left w:val="none" w:sz="0" w:space="0" w:color="auto"/>
        <w:bottom w:val="none" w:sz="0" w:space="0" w:color="auto"/>
        <w:right w:val="none" w:sz="0" w:space="0" w:color="auto"/>
      </w:divBdr>
    </w:div>
    <w:div w:id="825977303">
      <w:bodyDiv w:val="1"/>
      <w:marLeft w:val="0"/>
      <w:marRight w:val="0"/>
      <w:marTop w:val="0"/>
      <w:marBottom w:val="0"/>
      <w:divBdr>
        <w:top w:val="none" w:sz="0" w:space="0" w:color="auto"/>
        <w:left w:val="none" w:sz="0" w:space="0" w:color="auto"/>
        <w:bottom w:val="none" w:sz="0" w:space="0" w:color="auto"/>
        <w:right w:val="none" w:sz="0" w:space="0" w:color="auto"/>
      </w:divBdr>
    </w:div>
    <w:div w:id="850264913">
      <w:bodyDiv w:val="1"/>
      <w:marLeft w:val="0"/>
      <w:marRight w:val="0"/>
      <w:marTop w:val="0"/>
      <w:marBottom w:val="0"/>
      <w:divBdr>
        <w:top w:val="none" w:sz="0" w:space="0" w:color="auto"/>
        <w:left w:val="none" w:sz="0" w:space="0" w:color="auto"/>
        <w:bottom w:val="none" w:sz="0" w:space="0" w:color="auto"/>
        <w:right w:val="none" w:sz="0" w:space="0" w:color="auto"/>
      </w:divBdr>
    </w:div>
    <w:div w:id="1283222152">
      <w:bodyDiv w:val="1"/>
      <w:marLeft w:val="0"/>
      <w:marRight w:val="0"/>
      <w:marTop w:val="0"/>
      <w:marBottom w:val="0"/>
      <w:divBdr>
        <w:top w:val="none" w:sz="0" w:space="0" w:color="auto"/>
        <w:left w:val="none" w:sz="0" w:space="0" w:color="auto"/>
        <w:bottom w:val="none" w:sz="0" w:space="0" w:color="auto"/>
        <w:right w:val="none" w:sz="0" w:space="0" w:color="auto"/>
      </w:divBdr>
    </w:div>
    <w:div w:id="1728793965">
      <w:bodyDiv w:val="1"/>
      <w:marLeft w:val="0"/>
      <w:marRight w:val="0"/>
      <w:marTop w:val="0"/>
      <w:marBottom w:val="0"/>
      <w:divBdr>
        <w:top w:val="none" w:sz="0" w:space="0" w:color="auto"/>
        <w:left w:val="none" w:sz="0" w:space="0" w:color="auto"/>
        <w:bottom w:val="none" w:sz="0" w:space="0" w:color="auto"/>
        <w:right w:val="none" w:sz="0" w:space="0" w:color="auto"/>
      </w:divBdr>
    </w:div>
    <w:div w:id="1893809374">
      <w:bodyDiv w:val="1"/>
      <w:marLeft w:val="0"/>
      <w:marRight w:val="0"/>
      <w:marTop w:val="0"/>
      <w:marBottom w:val="0"/>
      <w:divBdr>
        <w:top w:val="none" w:sz="0" w:space="0" w:color="auto"/>
        <w:left w:val="none" w:sz="0" w:space="0" w:color="auto"/>
        <w:bottom w:val="none" w:sz="0" w:space="0" w:color="auto"/>
        <w:right w:val="none" w:sz="0" w:space="0" w:color="auto"/>
      </w:divBdr>
    </w:div>
    <w:div w:id="2070498513">
      <w:bodyDiv w:val="1"/>
      <w:marLeft w:val="0"/>
      <w:marRight w:val="0"/>
      <w:marTop w:val="0"/>
      <w:marBottom w:val="0"/>
      <w:divBdr>
        <w:top w:val="none" w:sz="0" w:space="0" w:color="auto"/>
        <w:left w:val="none" w:sz="0" w:space="0" w:color="auto"/>
        <w:bottom w:val="none" w:sz="0" w:space="0" w:color="auto"/>
        <w:right w:val="none" w:sz="0" w:space="0" w:color="auto"/>
      </w:divBdr>
      <w:divsChild>
        <w:div w:id="230430699">
          <w:marLeft w:val="0"/>
          <w:marRight w:val="0"/>
          <w:marTop w:val="0"/>
          <w:marBottom w:val="0"/>
          <w:divBdr>
            <w:top w:val="none" w:sz="0" w:space="0" w:color="auto"/>
            <w:left w:val="none" w:sz="0" w:space="0" w:color="auto"/>
            <w:bottom w:val="none" w:sz="0" w:space="0" w:color="auto"/>
            <w:right w:val="none" w:sz="0" w:space="0" w:color="auto"/>
          </w:divBdr>
          <w:divsChild>
            <w:div w:id="221327500">
              <w:marLeft w:val="0"/>
              <w:marRight w:val="0"/>
              <w:marTop w:val="0"/>
              <w:marBottom w:val="0"/>
              <w:divBdr>
                <w:top w:val="none" w:sz="0" w:space="0" w:color="auto"/>
                <w:left w:val="none" w:sz="0" w:space="0" w:color="auto"/>
                <w:bottom w:val="none" w:sz="0" w:space="0" w:color="auto"/>
                <w:right w:val="none" w:sz="0" w:space="0" w:color="auto"/>
              </w:divBdr>
              <w:divsChild>
                <w:div w:id="783311159">
                  <w:marLeft w:val="0"/>
                  <w:marRight w:val="0"/>
                  <w:marTop w:val="0"/>
                  <w:marBottom w:val="0"/>
                  <w:divBdr>
                    <w:top w:val="single" w:sz="6" w:space="0" w:color="EEF1F5"/>
                    <w:left w:val="single" w:sz="2" w:space="0" w:color="EEF1F5"/>
                    <w:bottom w:val="single" w:sz="6" w:space="0" w:color="EEF1F5"/>
                    <w:right w:val="single" w:sz="2" w:space="0" w:color="EEF1F5"/>
                  </w:divBdr>
                </w:div>
              </w:divsChild>
            </w:div>
          </w:divsChild>
        </w:div>
        <w:div w:id="818112682">
          <w:marLeft w:val="0"/>
          <w:marRight w:val="0"/>
          <w:marTop w:val="0"/>
          <w:marBottom w:val="0"/>
          <w:divBdr>
            <w:top w:val="none" w:sz="0" w:space="0" w:color="auto"/>
            <w:left w:val="none" w:sz="0" w:space="0" w:color="auto"/>
            <w:bottom w:val="none" w:sz="0" w:space="0" w:color="auto"/>
            <w:right w:val="none" w:sz="0" w:space="0" w:color="auto"/>
          </w:divBdr>
          <w:divsChild>
            <w:div w:id="1295257269">
              <w:marLeft w:val="0"/>
              <w:marRight w:val="0"/>
              <w:marTop w:val="195"/>
              <w:marBottom w:val="240"/>
              <w:divBdr>
                <w:top w:val="none" w:sz="0" w:space="0" w:color="auto"/>
                <w:left w:val="none" w:sz="0" w:space="0" w:color="auto"/>
                <w:bottom w:val="none" w:sz="0" w:space="0" w:color="auto"/>
                <w:right w:val="none" w:sz="0" w:space="0" w:color="auto"/>
              </w:divBdr>
              <w:divsChild>
                <w:div w:id="1694842306">
                  <w:marLeft w:val="195"/>
                  <w:marRight w:val="195"/>
                  <w:marTop w:val="0"/>
                  <w:marBottom w:val="0"/>
                  <w:divBdr>
                    <w:top w:val="none" w:sz="0" w:space="0" w:color="auto"/>
                    <w:left w:val="none" w:sz="0" w:space="0" w:color="auto"/>
                    <w:bottom w:val="none" w:sz="0" w:space="0" w:color="auto"/>
                    <w:right w:val="none" w:sz="0" w:space="0" w:color="auto"/>
                  </w:divBdr>
                  <w:divsChild>
                    <w:div w:id="28331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74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monde.fr/logement/article/2016/06/27/hlm-ces-villes-peu-ouvertes-aux-publics-prioritaires_4958689_1653445.html" TargetMode="External"/><Relationship Id="rId18" Type="http://schemas.openxmlformats.org/officeDocument/2006/relationships/hyperlink" Target="http://conjugaison.lemonde.fr/conjugaison/troisieme-groupe/devoir/" TargetMode="External"/><Relationship Id="rId26" Type="http://schemas.openxmlformats.org/officeDocument/2006/relationships/hyperlink" Target="http://conjugaison.lemonde.fr/conjugaison/troisieme-groupe/croire/" TargetMode="External"/><Relationship Id="rId39" Type="http://schemas.openxmlformats.org/officeDocument/2006/relationships/hyperlink" Target="http://conjugaison.lemonde.fr/conjugaison/troisieme-groupe/faire/" TargetMode="External"/><Relationship Id="rId3" Type="http://schemas.openxmlformats.org/officeDocument/2006/relationships/styles" Target="styles.xml"/><Relationship Id="rId21" Type="http://schemas.openxmlformats.org/officeDocument/2006/relationships/hyperlink" Target="http://conjugaison.lemonde.fr/conjugaison/premier-groupe/doter/" TargetMode="External"/><Relationship Id="rId34" Type="http://schemas.openxmlformats.org/officeDocument/2006/relationships/hyperlink" Target="http://conjugaison.lemonde.fr/conjugaison/troisieme-groupe/produire/" TargetMode="External"/><Relationship Id="rId42" Type="http://schemas.openxmlformats.org/officeDocument/2006/relationships/hyperlink" Target="http://conjugaison.lemonde.fr/conjugaison/troisieme-groupe/atteindre/" TargetMode="External"/><Relationship Id="rId47" Type="http://schemas.openxmlformats.org/officeDocument/2006/relationships/hyperlink" Target="http://conjugaison.lemonde.fr/conjugaison/premier-groupe/passer/" TargetMode="External"/><Relationship Id="rId50" Type="http://schemas.openxmlformats.org/officeDocument/2006/relationships/hyperlink" Target="http://conjugaison.lemonde.fr/conjugaison/troisieme-groupe/mettre/" TargetMode="External"/><Relationship Id="rId7" Type="http://schemas.openxmlformats.org/officeDocument/2006/relationships/endnotes" Target="endnotes.xml"/><Relationship Id="rId12" Type="http://schemas.openxmlformats.org/officeDocument/2006/relationships/hyperlink" Target="http://www.lagazettedescommunes.com/376286/transparence-des-attributions-de-logements-sociaux-le-chantier-est-ouvert/" TargetMode="External"/><Relationship Id="rId17" Type="http://schemas.openxmlformats.org/officeDocument/2006/relationships/hyperlink" Target="http://www.lemonde.fr/afrique-debats/" TargetMode="External"/><Relationship Id="rId25" Type="http://schemas.openxmlformats.org/officeDocument/2006/relationships/hyperlink" Target="http://conjugaison.lemonde.fr/conjugaison/troisieme-groupe/faire/" TargetMode="External"/><Relationship Id="rId33" Type="http://schemas.openxmlformats.org/officeDocument/2006/relationships/hyperlink" Target="http://www.lemonde.fr/exclusion/" TargetMode="External"/><Relationship Id="rId38" Type="http://schemas.openxmlformats.org/officeDocument/2006/relationships/hyperlink" Target="http://conjugaison.lemonde.fr/conjugaison/premier-groupe/reloger/" TargetMode="External"/><Relationship Id="rId46" Type="http://schemas.openxmlformats.org/officeDocument/2006/relationships/hyperlink" Target="http://www.lemonde.fr/smart-cities-habitat/" TargetMode="External"/><Relationship Id="rId2" Type="http://schemas.openxmlformats.org/officeDocument/2006/relationships/numbering" Target="numbering.xml"/><Relationship Id="rId16" Type="http://schemas.openxmlformats.org/officeDocument/2006/relationships/hyperlink" Target="http://www.lemonde.fr/logement/" TargetMode="External"/><Relationship Id="rId20" Type="http://schemas.openxmlformats.org/officeDocument/2006/relationships/hyperlink" Target="http://conjugaison.lemonde.fr/conjugaison/premier-groupe/r%C3%A9server/" TargetMode="External"/><Relationship Id="rId29" Type="http://schemas.openxmlformats.org/officeDocument/2006/relationships/hyperlink" Target="http://conjugaison.lemonde.fr/conjugaison/premier-groupe/rattraper/" TargetMode="External"/><Relationship Id="rId41" Type="http://schemas.openxmlformats.org/officeDocument/2006/relationships/hyperlink" Target="http://conjugaison.lemonde.fr/conjugaison/troisieme-groupe/reprendr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3A967.36BBF690" TargetMode="External"/><Relationship Id="rId24" Type="http://schemas.openxmlformats.org/officeDocument/2006/relationships/hyperlink" Target="http://conjugaison.lemonde.fr/conjugaison/premier-groupe/loger/" TargetMode="External"/><Relationship Id="rId32" Type="http://schemas.openxmlformats.org/officeDocument/2006/relationships/hyperlink" Target="http://www.lemonde.fr/christine-boutin/" TargetMode="External"/><Relationship Id="rId37" Type="http://schemas.openxmlformats.org/officeDocument/2006/relationships/hyperlink" Target="http://www.lemonde.fr/defense/" TargetMode="External"/><Relationship Id="rId40" Type="http://schemas.openxmlformats.org/officeDocument/2006/relationships/hyperlink" Target="http://conjugaison.lemonde.fr/conjugaison/premier-groupe/jouer/" TargetMode="External"/><Relationship Id="rId45" Type="http://schemas.openxmlformats.org/officeDocument/2006/relationships/hyperlink" Target="http://conjugaison.lemonde.fr/conjugaison/auxiliaire/avoir/"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monde.fr/projet/" TargetMode="External"/><Relationship Id="rId23" Type="http://schemas.openxmlformats.org/officeDocument/2006/relationships/hyperlink" Target="http://www.lemonde.fr/demographie/" TargetMode="External"/><Relationship Id="rId28" Type="http://schemas.openxmlformats.org/officeDocument/2006/relationships/hyperlink" Target="http://conjugaison.lemonde.fr/conjugaison/troisieme-groupe/construire/" TargetMode="External"/><Relationship Id="rId36" Type="http://schemas.openxmlformats.org/officeDocument/2006/relationships/hyperlink" Target="http://www.lemonde.fr/eelv/" TargetMode="External"/><Relationship Id="rId49" Type="http://schemas.openxmlformats.org/officeDocument/2006/relationships/hyperlink" Target="http://conjugaison.lemonde.fr/conjugaison/troisieme-groupe/remettre/" TargetMode="External"/><Relationship Id="rId10" Type="http://schemas.openxmlformats.org/officeDocument/2006/relationships/image" Target="media/image1.png"/><Relationship Id="rId19" Type="http://schemas.openxmlformats.org/officeDocument/2006/relationships/hyperlink" Target="http://www.lemonde.fr/social/" TargetMode="External"/><Relationship Id="rId31" Type="http://schemas.openxmlformats.org/officeDocument/2006/relationships/hyperlink" Target="http://conjugaison.lemonde.fr/conjugaison/premier-groupe/%C3%A9difier/" TargetMode="External"/><Relationship Id="rId44" Type="http://schemas.openxmlformats.org/officeDocument/2006/relationships/hyperlink" Target="http://conjugaison.lemonde.fr/conjugaison/premier-groupe/%C3%A9pingler/"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olitiquedulogement.com/dictionnaire-du-logement/glossaire/" TargetMode="External"/><Relationship Id="rId14" Type="http://schemas.openxmlformats.org/officeDocument/2006/relationships/hyperlink" Target="http://conjugaison.lemonde.fr/conjugaison/premier-groupe/examiner/" TargetMode="External"/><Relationship Id="rId22" Type="http://schemas.openxmlformats.org/officeDocument/2006/relationships/hyperlink" Target="http://conjugaison.lemonde.fr/conjugaison/auxiliaire/%C3%AAtre/" TargetMode="External"/><Relationship Id="rId27" Type="http://schemas.openxmlformats.org/officeDocument/2006/relationships/hyperlink" Target="http://conjugaison.lemonde.fr/conjugaison/premier-groupe/acc%C3%A9der/" TargetMode="External"/><Relationship Id="rId30" Type="http://schemas.openxmlformats.org/officeDocument/2006/relationships/hyperlink" Target="http://conjugaison.lemonde.fr/conjugaison/deuxieme-groupe/b%C3%A2tir/" TargetMode="External"/><Relationship Id="rId35" Type="http://schemas.openxmlformats.org/officeDocument/2006/relationships/hyperlink" Target="http://conjugaison.lemonde.fr/conjugaison/premier-groupe/conseiller/" TargetMode="External"/><Relationship Id="rId43" Type="http://schemas.openxmlformats.org/officeDocument/2006/relationships/hyperlink" Target="http://www.lemonde.fr/saint-denis/" TargetMode="External"/><Relationship Id="rId48" Type="http://schemas.openxmlformats.org/officeDocument/2006/relationships/hyperlink" Target="http://www.lemonde.fr/villes/" TargetMode="External"/><Relationship Id="rId8" Type="http://schemas.openxmlformats.org/officeDocument/2006/relationships/hyperlink" Target="http://politiquedulogement.com/dictionnaire-du-logement/glossaire/" TargetMode="External"/><Relationship Id="rId51" Type="http://schemas.openxmlformats.org/officeDocument/2006/relationships/hyperlink" Target="http://conjugaison.lemonde.fr/conjugaison/premier-groupe/transforme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ladynamiquecqfd.org/wordpress/?cat=29" TargetMode="External"/><Relationship Id="rId2" Type="http://schemas.openxmlformats.org/officeDocument/2006/relationships/hyperlink" Target="http://www.service-public.fr/" TargetMode="External"/><Relationship Id="rId1" Type="http://schemas.openxmlformats.org/officeDocument/2006/relationships/hyperlink" Target="http://www.lavieimmo.com/immobilier-international/le-logement-social-dans-la-tourmente-en-suisse-28504.html" TargetMode="External"/><Relationship Id="rId4" Type="http://schemas.openxmlformats.org/officeDocument/2006/relationships/hyperlink" Target="https://ressourceshlm.union-habitat.org/ush/Totem/Analyse+du+volet+Logement+de+la+Loi+Egalit%C3%A9+et+Citoyennet%C3%A9+-+Rep%C3%A8res+n%C2%B0+2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6D8B4-3ED4-43E0-BEAB-668799D7D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25</Pages>
  <Words>10999</Words>
  <Characters>60498</Characters>
  <Application>Microsoft Office Word</Application>
  <DocSecurity>0</DocSecurity>
  <Lines>504</Lines>
  <Paragraphs>142</Paragraphs>
  <ScaleCrop>false</ScaleCrop>
  <HeadingPairs>
    <vt:vector size="2" baseType="variant">
      <vt:variant>
        <vt:lpstr>Titre</vt:lpstr>
      </vt:variant>
      <vt:variant>
        <vt:i4>1</vt:i4>
      </vt:variant>
    </vt:vector>
  </HeadingPairs>
  <TitlesOfParts>
    <vt:vector size="1" baseType="lpstr">
      <vt:lpstr/>
    </vt:vector>
  </TitlesOfParts>
  <Company>FFB</Company>
  <LinksUpToDate>false</LinksUpToDate>
  <CharactersWithSpaces>71355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FORRIERREL</dc:creator>
  <cp:lastModifiedBy>JB</cp:lastModifiedBy>
  <cp:revision>10</cp:revision>
  <cp:lastPrinted>2018-03-08T10:12:00Z</cp:lastPrinted>
  <dcterms:created xsi:type="dcterms:W3CDTF">2018-03-20T15:16:00Z</dcterms:created>
  <dcterms:modified xsi:type="dcterms:W3CDTF">2018-03-20T15:47:00Z</dcterms:modified>
</cp:coreProperties>
</file>